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1A77" w14:textId="77777777" w:rsidR="00606DF7" w:rsidRPr="00FE7E38" w:rsidRDefault="002253AE" w:rsidP="00606DF7">
      <w:pPr>
        <w:spacing w:after="0" w:line="240" w:lineRule="auto"/>
        <w:jc w:val="both"/>
        <w:rPr>
          <w:rFonts w:eastAsia="Calibri" w:cstheme="minorHAnsi"/>
          <w:bCs/>
          <w:lang w:val="de-DE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64499403" wp14:editId="75C02D79">
            <wp:extent cx="1123950" cy="1114425"/>
            <wp:effectExtent l="0" t="0" r="0" b="9525"/>
            <wp:docPr id="1" name="Picture 1" descr="stambilji-ZAVOD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mbilji-ZAVODblac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DF7" w:rsidRPr="00FE7E38">
        <w:rPr>
          <w:rFonts w:eastAsia="Calibri" w:cstheme="minorHAnsi"/>
        </w:rPr>
        <w:t xml:space="preserve">  </w:t>
      </w:r>
      <w:r w:rsidR="00606DF7" w:rsidRPr="00FE7E38">
        <w:rPr>
          <w:rFonts w:eastAsia="Calibri" w:cstheme="minorHAnsi"/>
          <w:b/>
          <w:lang w:val="de-DE"/>
        </w:rPr>
        <w:t xml:space="preserve">                                                         </w:t>
      </w:r>
      <w:r w:rsidR="002E0E24">
        <w:rPr>
          <w:rFonts w:eastAsia="Calibri" w:cstheme="minorHAnsi"/>
          <w:b/>
          <w:lang w:val="de-DE"/>
        </w:rPr>
        <w:tab/>
      </w:r>
      <w:r w:rsidR="002E0E24">
        <w:rPr>
          <w:rFonts w:eastAsia="Calibri" w:cstheme="minorHAnsi"/>
          <w:b/>
          <w:lang w:val="de-DE"/>
        </w:rPr>
        <w:tab/>
      </w:r>
      <w:r w:rsidR="002E0E24">
        <w:rPr>
          <w:rFonts w:eastAsia="Calibri" w:cstheme="minorHAnsi"/>
          <w:b/>
          <w:lang w:val="de-DE"/>
        </w:rPr>
        <w:tab/>
      </w:r>
      <w:r w:rsidR="002E0E24">
        <w:rPr>
          <w:rFonts w:eastAsia="Calibri" w:cstheme="minorHAnsi"/>
          <w:b/>
          <w:lang w:val="de-DE"/>
        </w:rPr>
        <w:tab/>
      </w:r>
      <w:r w:rsidR="002E0E24">
        <w:rPr>
          <w:rFonts w:eastAsia="Calibri" w:cstheme="minorHAnsi"/>
          <w:b/>
          <w:lang w:val="de-DE"/>
        </w:rPr>
        <w:tab/>
      </w:r>
      <w:r w:rsidR="002E0E24">
        <w:rPr>
          <w:rFonts w:eastAsia="Calibri" w:cstheme="minorHAnsi"/>
          <w:b/>
          <w:lang w:val="de-DE"/>
        </w:rPr>
        <w:tab/>
        <w:t xml:space="preserve">   </w:t>
      </w:r>
      <w:r w:rsidR="002E0E24">
        <w:rPr>
          <w:rFonts w:eastAsia="Calibri" w:cstheme="minorHAnsi"/>
          <w:b/>
          <w:lang w:val="de-DE"/>
        </w:rPr>
        <w:tab/>
      </w:r>
      <w:r w:rsidR="00606DF7" w:rsidRPr="00FE7E38">
        <w:rPr>
          <w:rFonts w:eastAsia="Calibri" w:cstheme="minorHAnsi"/>
          <w:b/>
          <w:lang w:val="de-DE"/>
        </w:rPr>
        <w:t xml:space="preserve"> </w:t>
      </w:r>
    </w:p>
    <w:p w14:paraId="2A8E007A" w14:textId="77777777" w:rsidR="002253AE" w:rsidRPr="00604E7D" w:rsidRDefault="002253AE" w:rsidP="002253AE">
      <w:pPr>
        <w:spacing w:after="0" w:line="276" w:lineRule="auto"/>
        <w:jc w:val="both"/>
        <w:rPr>
          <w:rFonts w:ascii="Arial" w:eastAsia="Calibri" w:hAnsi="Arial" w:cs="Arial"/>
          <w:lang w:val="de-DE"/>
        </w:rPr>
      </w:pPr>
      <w:r w:rsidRPr="00604E7D">
        <w:rPr>
          <w:rFonts w:ascii="Arial" w:eastAsia="Calibri" w:hAnsi="Arial" w:cs="Arial"/>
          <w:lang w:val="de-DE"/>
        </w:rPr>
        <w:t>UPRAVNO VIJEĆE</w:t>
      </w:r>
    </w:p>
    <w:p w14:paraId="24B51978" w14:textId="0FFEBA13" w:rsidR="002253AE" w:rsidRPr="00604E7D" w:rsidRDefault="002253AE" w:rsidP="002253AE">
      <w:pPr>
        <w:spacing w:before="120" w:after="0" w:line="240" w:lineRule="auto"/>
        <w:jc w:val="both"/>
        <w:rPr>
          <w:rFonts w:ascii="Arial" w:eastAsia="Calibri" w:hAnsi="Arial" w:cs="Arial"/>
          <w:lang w:val="de-DE"/>
        </w:rPr>
      </w:pPr>
      <w:r w:rsidRPr="00604E7D">
        <w:rPr>
          <w:rFonts w:ascii="Arial" w:eastAsia="Calibri" w:hAnsi="Arial" w:cs="Arial"/>
          <w:lang w:val="de-DE"/>
        </w:rPr>
        <w:t xml:space="preserve">KLASA: </w:t>
      </w:r>
      <w:r w:rsidR="00E233B2">
        <w:rPr>
          <w:rFonts w:ascii="Arial" w:eastAsia="Calibri" w:hAnsi="Arial" w:cs="Arial"/>
          <w:lang w:val="de-DE"/>
        </w:rPr>
        <w:t>400-02/24-01/1</w:t>
      </w:r>
    </w:p>
    <w:p w14:paraId="529EDF91" w14:textId="15D546DE" w:rsidR="002253AE" w:rsidRPr="00604E7D" w:rsidRDefault="002253AE" w:rsidP="002253AE">
      <w:pPr>
        <w:spacing w:after="0" w:line="240" w:lineRule="auto"/>
        <w:jc w:val="both"/>
        <w:rPr>
          <w:rFonts w:ascii="Arial" w:eastAsia="Calibri" w:hAnsi="Arial" w:cs="Arial"/>
          <w:lang w:val="de-DE"/>
        </w:rPr>
      </w:pPr>
      <w:r w:rsidRPr="00604E7D">
        <w:rPr>
          <w:rFonts w:ascii="Arial" w:eastAsia="Calibri" w:hAnsi="Arial" w:cs="Arial"/>
          <w:lang w:val="de-DE"/>
        </w:rPr>
        <w:t xml:space="preserve">URBROJ: </w:t>
      </w:r>
      <w:r w:rsidR="00E233B2">
        <w:rPr>
          <w:rFonts w:ascii="Arial" w:eastAsia="Calibri" w:hAnsi="Arial" w:cs="Arial"/>
          <w:lang w:val="de-DE"/>
        </w:rPr>
        <w:t>2109-72-01-26-09</w:t>
      </w:r>
    </w:p>
    <w:p w14:paraId="33F3A8C0" w14:textId="5180AC41" w:rsidR="002253AE" w:rsidRPr="00604E7D" w:rsidRDefault="002253AE" w:rsidP="002253AE">
      <w:pPr>
        <w:spacing w:after="0" w:line="240" w:lineRule="auto"/>
        <w:jc w:val="both"/>
        <w:rPr>
          <w:rFonts w:ascii="Arial" w:eastAsia="Calibri" w:hAnsi="Arial" w:cs="Arial"/>
          <w:lang w:val="de-DE"/>
        </w:rPr>
      </w:pPr>
      <w:r w:rsidRPr="00604E7D">
        <w:rPr>
          <w:rFonts w:ascii="Arial" w:eastAsia="Calibri" w:hAnsi="Arial" w:cs="Arial"/>
        </w:rPr>
        <w:t>Čakovec,</w:t>
      </w:r>
      <w:r>
        <w:rPr>
          <w:rFonts w:ascii="Arial" w:eastAsia="Calibri" w:hAnsi="Arial" w:cs="Arial"/>
        </w:rPr>
        <w:t xml:space="preserve"> </w:t>
      </w:r>
      <w:r w:rsidR="007011FB">
        <w:rPr>
          <w:rFonts w:ascii="Arial" w:eastAsia="Calibri" w:hAnsi="Arial" w:cs="Arial"/>
        </w:rPr>
        <w:t>20.2.2026.</w:t>
      </w:r>
    </w:p>
    <w:p w14:paraId="259D96E2" w14:textId="77777777" w:rsidR="001F3A5D" w:rsidRDefault="0008282C" w:rsidP="0008282C">
      <w:pPr>
        <w:spacing w:after="0" w:line="240" w:lineRule="auto"/>
        <w:jc w:val="both"/>
        <w:rPr>
          <w:rFonts w:eastAsia="Calibri" w:cstheme="minorHAnsi"/>
          <w:lang w:val="de-DE"/>
        </w:rPr>
      </w:pPr>
      <w:r w:rsidRPr="003D696C">
        <w:rPr>
          <w:rFonts w:eastAsia="Calibri" w:cstheme="minorHAnsi"/>
          <w:lang w:val="de-DE"/>
        </w:rPr>
        <w:t xml:space="preserve"> </w:t>
      </w:r>
    </w:p>
    <w:p w14:paraId="29B21A5E" w14:textId="77777777" w:rsidR="002253AE" w:rsidRDefault="002253AE" w:rsidP="0008282C">
      <w:pPr>
        <w:spacing w:after="0" w:line="240" w:lineRule="auto"/>
        <w:jc w:val="both"/>
        <w:rPr>
          <w:rFonts w:eastAsia="Calibri" w:cstheme="minorHAnsi"/>
          <w:lang w:val="de-DE"/>
        </w:rPr>
      </w:pPr>
    </w:p>
    <w:p w14:paraId="30AA5FD1" w14:textId="77777777" w:rsidR="002253AE" w:rsidRPr="003D696C" w:rsidRDefault="002253AE" w:rsidP="0008282C">
      <w:pPr>
        <w:spacing w:after="0" w:line="240" w:lineRule="auto"/>
        <w:jc w:val="both"/>
        <w:rPr>
          <w:rFonts w:eastAsia="Calibri" w:cstheme="minorHAnsi"/>
          <w:lang w:val="de-DE"/>
        </w:rPr>
      </w:pPr>
    </w:p>
    <w:p w14:paraId="132A9C56" w14:textId="71DF996F" w:rsidR="002253AE" w:rsidRDefault="0008282C" w:rsidP="0008282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2253AE">
        <w:rPr>
          <w:rFonts w:ascii="Arial" w:eastAsia="Times New Roman" w:hAnsi="Arial" w:cs="Arial"/>
          <w:color w:val="000000"/>
          <w:lang w:eastAsia="hr-HR"/>
        </w:rPr>
        <w:t>Na temelju odredbe članka 86.</w:t>
      </w:r>
      <w:r w:rsidR="00CA52C6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A36B0E">
        <w:rPr>
          <w:rFonts w:ascii="Arial" w:eastAsia="Times New Roman" w:hAnsi="Arial" w:cs="Arial"/>
          <w:color w:val="000000"/>
          <w:lang w:eastAsia="hr-HR"/>
        </w:rPr>
        <w:t>stavka 3.</w:t>
      </w:r>
      <w:r w:rsidRPr="002253AE">
        <w:rPr>
          <w:rFonts w:ascii="Arial" w:eastAsia="Times New Roman" w:hAnsi="Arial" w:cs="Arial"/>
          <w:color w:val="000000"/>
          <w:lang w:eastAsia="hr-HR"/>
        </w:rPr>
        <w:t xml:space="preserve"> Zakona o proračunu (“Narodne novine” broj 144/21.</w:t>
      </w:r>
      <w:r w:rsidR="003649C5" w:rsidRPr="002253AE">
        <w:rPr>
          <w:rFonts w:ascii="Arial" w:eastAsia="Times New Roman" w:hAnsi="Arial" w:cs="Arial"/>
          <w:color w:val="000000"/>
          <w:lang w:eastAsia="hr-HR"/>
        </w:rPr>
        <w:t>) i članka 17</w:t>
      </w:r>
      <w:r w:rsidRPr="002253AE">
        <w:rPr>
          <w:rFonts w:ascii="Arial" w:eastAsia="Times New Roman" w:hAnsi="Arial" w:cs="Arial"/>
          <w:color w:val="000000"/>
          <w:lang w:eastAsia="hr-HR"/>
        </w:rPr>
        <w:t>. Statuta Zavoda z</w:t>
      </w:r>
      <w:r w:rsidR="003649C5" w:rsidRPr="002253AE">
        <w:rPr>
          <w:rFonts w:ascii="Arial" w:eastAsia="Times New Roman" w:hAnsi="Arial" w:cs="Arial"/>
          <w:color w:val="000000"/>
          <w:lang w:eastAsia="hr-HR"/>
        </w:rPr>
        <w:t>a prostorno uređenje Međimurske</w:t>
      </w:r>
      <w:r w:rsidRPr="002253AE">
        <w:rPr>
          <w:rFonts w:ascii="Arial" w:eastAsia="Times New Roman" w:hAnsi="Arial" w:cs="Arial"/>
          <w:color w:val="000000"/>
          <w:lang w:eastAsia="hr-HR"/>
        </w:rPr>
        <w:t xml:space="preserve"> županij</w:t>
      </w:r>
      <w:r w:rsidR="00A00918" w:rsidRPr="002253AE">
        <w:rPr>
          <w:rFonts w:ascii="Arial" w:eastAsia="Times New Roman" w:hAnsi="Arial" w:cs="Arial"/>
          <w:color w:val="000000"/>
          <w:lang w:eastAsia="hr-HR"/>
        </w:rPr>
        <w:t xml:space="preserve">e („Službeni </w:t>
      </w:r>
      <w:r w:rsidR="00347562">
        <w:rPr>
          <w:rFonts w:ascii="Arial" w:eastAsia="Times New Roman" w:hAnsi="Arial" w:cs="Arial"/>
          <w:color w:val="000000"/>
          <w:lang w:eastAsia="hr-HR"/>
        </w:rPr>
        <w:t>glasnik</w:t>
      </w:r>
      <w:r w:rsidR="00A00918" w:rsidRPr="002253AE">
        <w:rPr>
          <w:rFonts w:ascii="Arial" w:eastAsia="Times New Roman" w:hAnsi="Arial" w:cs="Arial"/>
          <w:color w:val="000000"/>
          <w:lang w:eastAsia="hr-HR"/>
        </w:rPr>
        <w:t xml:space="preserve"> Međimurske</w:t>
      </w:r>
      <w:r w:rsidRPr="002253AE">
        <w:rPr>
          <w:rFonts w:ascii="Arial" w:eastAsia="Times New Roman" w:hAnsi="Arial" w:cs="Arial"/>
          <w:color w:val="000000"/>
          <w:lang w:eastAsia="hr-HR"/>
        </w:rPr>
        <w:t xml:space="preserve"> županije</w:t>
      </w:r>
      <w:r w:rsidR="00347562">
        <w:rPr>
          <w:rFonts w:ascii="Arial" w:eastAsia="Times New Roman" w:hAnsi="Arial" w:cs="Arial"/>
          <w:color w:val="000000"/>
          <w:lang w:eastAsia="hr-HR"/>
        </w:rPr>
        <w:t xml:space="preserve"> broj </w:t>
      </w:r>
      <w:r w:rsidR="00A00918" w:rsidRPr="002253AE">
        <w:rPr>
          <w:rFonts w:ascii="Arial" w:hAnsi="Arial" w:cs="Arial"/>
        </w:rPr>
        <w:t>19/14.</w:t>
      </w:r>
      <w:r w:rsidR="00347562">
        <w:rPr>
          <w:rFonts w:ascii="Arial" w:hAnsi="Arial" w:cs="Arial"/>
        </w:rPr>
        <w:t>, 10/22., 2/23.</w:t>
      </w:r>
      <w:r w:rsidR="00CA52C6">
        <w:rPr>
          <w:rFonts w:ascii="Arial" w:hAnsi="Arial" w:cs="Arial"/>
        </w:rPr>
        <w:t>,</w:t>
      </w:r>
      <w:r w:rsidR="00A00918" w:rsidRPr="002253AE">
        <w:rPr>
          <w:rFonts w:ascii="Arial" w:hAnsi="Arial" w:cs="Arial"/>
        </w:rPr>
        <w:t xml:space="preserve"> </w:t>
      </w:r>
      <w:r w:rsidR="00347562">
        <w:rPr>
          <w:rFonts w:ascii="Arial" w:hAnsi="Arial" w:cs="Arial"/>
        </w:rPr>
        <w:t>18/23</w:t>
      </w:r>
      <w:r w:rsidRPr="002253AE">
        <w:rPr>
          <w:rFonts w:ascii="Arial" w:hAnsi="Arial" w:cs="Arial"/>
        </w:rPr>
        <w:t>.</w:t>
      </w:r>
      <w:r w:rsidR="00CA52C6">
        <w:rPr>
          <w:rFonts w:ascii="Arial" w:hAnsi="Arial" w:cs="Arial"/>
        </w:rPr>
        <w:t>, 3/25. i 10/25-pročišćeni tekst</w:t>
      </w:r>
      <w:r w:rsidRPr="002253AE">
        <w:rPr>
          <w:rFonts w:ascii="Arial" w:eastAsia="Times New Roman" w:hAnsi="Arial" w:cs="Arial"/>
          <w:color w:val="000000"/>
          <w:lang w:eastAsia="hr-HR"/>
        </w:rPr>
        <w:t>), Upravno vijeće Zavoda z</w:t>
      </w:r>
      <w:r w:rsidR="00A00918" w:rsidRPr="002253AE">
        <w:rPr>
          <w:rFonts w:ascii="Arial" w:eastAsia="Times New Roman" w:hAnsi="Arial" w:cs="Arial"/>
          <w:color w:val="000000"/>
          <w:lang w:eastAsia="hr-HR"/>
        </w:rPr>
        <w:t>a prostorno uređenje Međimurske</w:t>
      </w:r>
      <w:r w:rsidRPr="002253AE">
        <w:rPr>
          <w:rFonts w:ascii="Arial" w:eastAsia="Times New Roman" w:hAnsi="Arial" w:cs="Arial"/>
          <w:color w:val="000000"/>
          <w:lang w:eastAsia="hr-HR"/>
        </w:rPr>
        <w:t xml:space="preserve"> županije, </w:t>
      </w:r>
      <w:r w:rsidRPr="002253AE">
        <w:rPr>
          <w:rFonts w:ascii="Arial" w:eastAsia="Times New Roman" w:hAnsi="Arial" w:cs="Arial"/>
          <w:lang w:eastAsia="hr-HR"/>
        </w:rPr>
        <w:t xml:space="preserve">na </w:t>
      </w:r>
      <w:r w:rsidR="00E233B2">
        <w:rPr>
          <w:rFonts w:ascii="Arial" w:eastAsia="Times New Roman" w:hAnsi="Arial" w:cs="Arial"/>
          <w:lang w:eastAsia="hr-HR"/>
        </w:rPr>
        <w:t>11</w:t>
      </w:r>
      <w:r w:rsidRPr="002253AE">
        <w:rPr>
          <w:rFonts w:ascii="Arial" w:eastAsia="Times New Roman" w:hAnsi="Arial" w:cs="Arial"/>
          <w:lang w:eastAsia="hr-HR"/>
        </w:rPr>
        <w:t>. sjednici održanoj</w:t>
      </w:r>
      <w:r w:rsidR="009D3765">
        <w:rPr>
          <w:rFonts w:ascii="Arial" w:eastAsia="Times New Roman" w:hAnsi="Arial" w:cs="Arial"/>
          <w:lang w:eastAsia="hr-HR"/>
        </w:rPr>
        <w:t xml:space="preserve"> </w:t>
      </w:r>
      <w:r w:rsidR="007011FB">
        <w:rPr>
          <w:rFonts w:ascii="Arial" w:eastAsia="Times New Roman" w:hAnsi="Arial" w:cs="Arial"/>
          <w:lang w:eastAsia="hr-HR"/>
        </w:rPr>
        <w:t>20.2.2026</w:t>
      </w:r>
      <w:r w:rsidRPr="002253AE">
        <w:rPr>
          <w:rFonts w:ascii="Arial" w:eastAsia="Times New Roman" w:hAnsi="Arial" w:cs="Arial"/>
          <w:color w:val="000000"/>
          <w:lang w:eastAsia="hr-HR"/>
        </w:rPr>
        <w:t>. godine, d</w:t>
      </w:r>
      <w:r w:rsidR="004171BE">
        <w:rPr>
          <w:rFonts w:ascii="Arial" w:eastAsia="Times New Roman" w:hAnsi="Arial" w:cs="Arial"/>
          <w:color w:val="000000"/>
          <w:lang w:eastAsia="hr-HR"/>
        </w:rPr>
        <w:t>onijelo je</w:t>
      </w:r>
    </w:p>
    <w:p w14:paraId="64BC46B0" w14:textId="77777777" w:rsidR="002253AE" w:rsidRDefault="002253AE" w:rsidP="0008282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5F0B7AA" w14:textId="77777777" w:rsidR="002253AE" w:rsidRPr="002253AE" w:rsidRDefault="002253AE" w:rsidP="0008282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EC2B38D" w14:textId="77777777" w:rsidR="00606DF7" w:rsidRPr="002253AE" w:rsidRDefault="00397BA2" w:rsidP="002253AE">
      <w:pPr>
        <w:pStyle w:val="Heading7"/>
        <w:rPr>
          <w:color w:val="000000"/>
          <w:sz w:val="22"/>
          <w:szCs w:val="22"/>
        </w:rPr>
      </w:pPr>
      <w:proofErr w:type="gramStart"/>
      <w:r w:rsidRPr="002253AE">
        <w:rPr>
          <w:rFonts w:eastAsia="Calibri"/>
          <w:bCs w:val="0"/>
          <w:sz w:val="22"/>
          <w:szCs w:val="22"/>
          <w:lang w:val="de-DE" w:eastAsia="en-US"/>
        </w:rPr>
        <w:t>GODIŠNJI</w:t>
      </w:r>
      <w:r w:rsidRPr="002253AE">
        <w:rPr>
          <w:sz w:val="22"/>
          <w:szCs w:val="22"/>
        </w:rPr>
        <w:t xml:space="preserve"> </w:t>
      </w:r>
      <w:r w:rsidR="00D517AB" w:rsidRPr="002253AE">
        <w:rPr>
          <w:color w:val="000000"/>
          <w:sz w:val="22"/>
          <w:szCs w:val="22"/>
        </w:rPr>
        <w:t xml:space="preserve"> IZVJEŠTAJ</w:t>
      </w:r>
      <w:proofErr w:type="gramEnd"/>
    </w:p>
    <w:p w14:paraId="2E6EE3F1" w14:textId="77777777" w:rsidR="00606DF7" w:rsidRDefault="00606DF7" w:rsidP="00FE7E38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2253AE">
        <w:rPr>
          <w:rFonts w:ascii="Arial" w:eastAsia="Times New Roman" w:hAnsi="Arial" w:cs="Arial"/>
          <w:b/>
          <w:bCs/>
          <w:color w:val="000000"/>
          <w:lang w:eastAsia="hr-HR"/>
        </w:rPr>
        <w:t xml:space="preserve">o </w:t>
      </w:r>
      <w:r w:rsidR="00D517AB" w:rsidRPr="002253AE">
        <w:rPr>
          <w:rFonts w:ascii="Arial" w:eastAsia="Times New Roman" w:hAnsi="Arial" w:cs="Arial"/>
          <w:b/>
          <w:bCs/>
          <w:color w:val="000000"/>
          <w:lang w:eastAsia="hr-HR"/>
        </w:rPr>
        <w:t xml:space="preserve">izvršenju Financijskog plana </w:t>
      </w:r>
      <w:r w:rsidR="00FE7E38" w:rsidRPr="002253AE">
        <w:rPr>
          <w:rFonts w:ascii="Arial" w:eastAsia="Times New Roman" w:hAnsi="Arial" w:cs="Arial"/>
          <w:b/>
          <w:bCs/>
          <w:color w:val="000000"/>
          <w:lang w:eastAsia="hr-HR"/>
        </w:rPr>
        <w:t>Zavoda za prostorno uređenje</w:t>
      </w:r>
      <w:r w:rsidR="00A00918" w:rsidRPr="002253AE">
        <w:rPr>
          <w:rFonts w:ascii="Arial" w:eastAsia="Times New Roman" w:hAnsi="Arial" w:cs="Arial"/>
          <w:b/>
          <w:bCs/>
          <w:color w:val="000000"/>
          <w:lang w:eastAsia="hr-HR"/>
        </w:rPr>
        <w:t xml:space="preserve"> Međimurske</w:t>
      </w:r>
      <w:r w:rsidR="00A900E1">
        <w:rPr>
          <w:rFonts w:ascii="Arial" w:eastAsia="Times New Roman" w:hAnsi="Arial" w:cs="Arial"/>
          <w:b/>
          <w:bCs/>
          <w:color w:val="000000"/>
          <w:lang w:eastAsia="hr-HR"/>
        </w:rPr>
        <w:t xml:space="preserve"> županije za </w:t>
      </w:r>
    </w:p>
    <w:p w14:paraId="6F2B6579" w14:textId="0ED9E483" w:rsidR="00A900E1" w:rsidRPr="002253AE" w:rsidRDefault="00256A8B" w:rsidP="00FE7E38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razdoblje od 01.01</w:t>
      </w:r>
      <w:r w:rsidR="00E233B2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  <w:r w:rsidR="00000638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-</w:t>
      </w:r>
      <w:r w:rsidR="00000638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31.12</w:t>
      </w:r>
      <w:r w:rsidR="00A36B0E">
        <w:rPr>
          <w:rFonts w:ascii="Arial" w:eastAsia="Times New Roman" w:hAnsi="Arial" w:cs="Arial"/>
          <w:b/>
          <w:bCs/>
          <w:color w:val="000000"/>
          <w:lang w:eastAsia="hr-HR"/>
        </w:rPr>
        <w:t>.2025</w:t>
      </w:r>
      <w:r w:rsidR="00A900E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  <w:r w:rsidR="00E233B2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="00A900E1">
        <w:rPr>
          <w:rFonts w:ascii="Arial" w:eastAsia="Times New Roman" w:hAnsi="Arial" w:cs="Arial"/>
          <w:b/>
          <w:bCs/>
          <w:color w:val="000000"/>
          <w:lang w:eastAsia="hr-HR"/>
        </w:rPr>
        <w:t>godine</w:t>
      </w:r>
    </w:p>
    <w:p w14:paraId="6EE0B363" w14:textId="77777777" w:rsidR="002253AE" w:rsidRPr="002253AE" w:rsidRDefault="002253AE" w:rsidP="00EB792E">
      <w:pPr>
        <w:spacing w:after="75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3D4ED47A" w14:textId="7EE09153" w:rsidR="00371236" w:rsidRPr="009D3765" w:rsidRDefault="009D3765" w:rsidP="009D37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I.</w:t>
      </w:r>
      <w:r w:rsidR="00362FB2">
        <w:rPr>
          <w:rFonts w:ascii="Arial" w:hAnsi="Arial" w:cs="Arial"/>
          <w:b/>
          <w:bCs/>
        </w:rPr>
        <w:t xml:space="preserve"> </w:t>
      </w:r>
      <w:r w:rsidR="00877FC0" w:rsidRPr="009D3765">
        <w:rPr>
          <w:rFonts w:ascii="Arial" w:hAnsi="Arial" w:cs="Arial"/>
          <w:b/>
          <w:bCs/>
        </w:rPr>
        <w:t>OPĆI DIO</w:t>
      </w:r>
    </w:p>
    <w:p w14:paraId="143A1B5F" w14:textId="77777777" w:rsidR="008860D5" w:rsidRPr="002253AE" w:rsidRDefault="008860D5" w:rsidP="008860D5">
      <w:pPr>
        <w:pStyle w:val="ListParagraph"/>
        <w:ind w:left="1080"/>
        <w:rPr>
          <w:rFonts w:ascii="Arial" w:hAnsi="Arial" w:cs="Arial"/>
          <w:b/>
          <w:bCs/>
        </w:rPr>
      </w:pPr>
    </w:p>
    <w:p w14:paraId="1438D731" w14:textId="77777777" w:rsidR="00606DF7" w:rsidRPr="002253AE" w:rsidRDefault="007B38D7" w:rsidP="00FE7E38">
      <w:pPr>
        <w:jc w:val="center"/>
        <w:rPr>
          <w:rFonts w:ascii="Arial" w:hAnsi="Arial" w:cs="Arial"/>
          <w:b/>
        </w:rPr>
      </w:pPr>
      <w:r w:rsidRPr="002253AE">
        <w:rPr>
          <w:rFonts w:ascii="Arial" w:hAnsi="Arial" w:cs="Arial"/>
          <w:b/>
        </w:rPr>
        <w:t xml:space="preserve">   </w:t>
      </w:r>
      <w:r w:rsidR="00877FC0" w:rsidRPr="002253AE">
        <w:rPr>
          <w:rFonts w:ascii="Arial" w:hAnsi="Arial" w:cs="Arial"/>
          <w:b/>
        </w:rPr>
        <w:t>Članak 1.</w:t>
      </w:r>
    </w:p>
    <w:p w14:paraId="63A437CF" w14:textId="77777777" w:rsidR="003D1418" w:rsidRPr="002253AE" w:rsidRDefault="00296B1C" w:rsidP="003734C2">
      <w:pPr>
        <w:rPr>
          <w:rFonts w:ascii="Arial" w:hAnsi="Arial" w:cs="Arial"/>
          <w:b/>
          <w:bCs/>
        </w:rPr>
      </w:pPr>
      <w:r w:rsidRPr="002253AE">
        <w:rPr>
          <w:rFonts w:ascii="Arial" w:hAnsi="Arial" w:cs="Arial"/>
          <w:b/>
          <w:bCs/>
        </w:rPr>
        <w:t>SAŽETAK RAČUNA PRIHODA I RASHODA</w:t>
      </w:r>
    </w:p>
    <w:tbl>
      <w:tblPr>
        <w:tblW w:w="9605" w:type="dxa"/>
        <w:tblInd w:w="-10" w:type="dxa"/>
        <w:tblLook w:val="04A0" w:firstRow="1" w:lastRow="0" w:firstColumn="1" w:lastColumn="0" w:noHBand="0" w:noVBand="1"/>
      </w:tblPr>
      <w:tblGrid>
        <w:gridCol w:w="1995"/>
        <w:gridCol w:w="1348"/>
        <w:gridCol w:w="1482"/>
        <w:gridCol w:w="1348"/>
        <w:gridCol w:w="1348"/>
        <w:gridCol w:w="1042"/>
        <w:gridCol w:w="1042"/>
      </w:tblGrid>
      <w:tr w:rsidR="00615731" w:rsidRPr="002253AE" w14:paraId="3E67F2B3" w14:textId="77777777" w:rsidTr="00906B43">
        <w:trPr>
          <w:trHeight w:val="442"/>
        </w:trPr>
        <w:tc>
          <w:tcPr>
            <w:tcW w:w="1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DE534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ED00A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     </w:t>
            </w:r>
            <w:r w:rsidR="00256A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I-XII</w:t>
            </w:r>
            <w:r w:rsidR="00A9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202</w:t>
            </w:r>
            <w:r w:rsidR="00A36B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FC26F" w14:textId="77777777" w:rsidR="00615731" w:rsidRPr="002253AE" w:rsidRDefault="00A36B0E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Izvorni plan 2025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2FC03" w14:textId="77777777" w:rsidR="00615731" w:rsidRPr="002253AE" w:rsidRDefault="00A36B0E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 2025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ABF3A" w14:textId="77777777" w:rsidR="00615731" w:rsidRPr="002253AE" w:rsidRDefault="00256A8B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         I-XII</w:t>
            </w:r>
            <w:r w:rsidR="00A36B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2025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7007E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AB53F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</w:tr>
      <w:tr w:rsidR="00615731" w:rsidRPr="002253AE" w14:paraId="61B7B36B" w14:textId="77777777" w:rsidTr="00906B43">
        <w:trPr>
          <w:trHeight w:val="109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69B71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60370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E9ACE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5B6BD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04BB3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4E019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6=5/2*100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629A0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7=5/4*100</w:t>
            </w:r>
          </w:p>
        </w:tc>
      </w:tr>
      <w:tr w:rsidR="00615731" w:rsidRPr="002253AE" w14:paraId="12AB12BA" w14:textId="77777777" w:rsidTr="00906B43">
        <w:trPr>
          <w:trHeight w:val="29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center"/>
            <w:hideMark/>
          </w:tcPr>
          <w:p w14:paraId="5F6AF6F9" w14:textId="77777777" w:rsidR="00615731" w:rsidRPr="002253AE" w:rsidRDefault="00296B1C" w:rsidP="00296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PRIHODI UKUPNO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center"/>
            <w:hideMark/>
          </w:tcPr>
          <w:p w14:paraId="259185E6" w14:textId="77777777" w:rsidR="00615731" w:rsidRPr="002253AE" w:rsidRDefault="0061573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A36B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312.298,49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center"/>
            <w:hideMark/>
          </w:tcPr>
          <w:p w14:paraId="5ACAA16B" w14:textId="77777777" w:rsidR="00615731" w:rsidRPr="002253AE" w:rsidRDefault="00615731" w:rsidP="00906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A36B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417.467,00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center"/>
            <w:hideMark/>
          </w:tcPr>
          <w:p w14:paraId="2A9F700C" w14:textId="77777777" w:rsidR="00615731" w:rsidRPr="002253AE" w:rsidRDefault="0061573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A36B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326.928,28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center"/>
            <w:hideMark/>
          </w:tcPr>
          <w:p w14:paraId="419A3E99" w14:textId="77777777" w:rsidR="00615731" w:rsidRPr="002253AE" w:rsidRDefault="00397BA2" w:rsidP="00906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 </w:t>
            </w:r>
            <w:r w:rsidR="00300D2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303.799,76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center"/>
            <w:hideMark/>
          </w:tcPr>
          <w:p w14:paraId="55603CF0" w14:textId="77777777" w:rsidR="00615731" w:rsidRPr="002253AE" w:rsidRDefault="00300D2D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97,28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center"/>
            <w:hideMark/>
          </w:tcPr>
          <w:p w14:paraId="680E965B" w14:textId="77777777" w:rsidR="00615731" w:rsidRPr="002253AE" w:rsidRDefault="006876B8" w:rsidP="00000638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  <w:r w:rsidR="00300D2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2,93</w:t>
            </w:r>
          </w:p>
        </w:tc>
      </w:tr>
      <w:tr w:rsidR="007E1BAE" w:rsidRPr="002253AE" w14:paraId="49EC630F" w14:textId="77777777" w:rsidTr="00906B43">
        <w:trPr>
          <w:trHeight w:val="268"/>
        </w:trPr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FA321A" w14:textId="0C5906B4" w:rsidR="007E1BAE" w:rsidRPr="002253AE" w:rsidRDefault="007E1BAE" w:rsidP="00000638">
            <w:pPr>
              <w:spacing w:after="0" w:line="240" w:lineRule="auto"/>
              <w:ind w:left="149" w:firstLineChars="17" w:firstLine="3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6 Prihodi </w:t>
            </w:r>
            <w:r w:rsidR="00000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</w:t>
            </w: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poslovanja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60E2B0" w14:textId="77777777" w:rsidR="007E1BAE" w:rsidRPr="002253AE" w:rsidRDefault="00A36B0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312.298,49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E57292" w14:textId="77777777" w:rsidR="007E1BAE" w:rsidRPr="002253AE" w:rsidRDefault="00296B1C" w:rsidP="00906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A36B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417.467,00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6935D0" w14:textId="77777777" w:rsidR="007E1BAE" w:rsidRPr="002253AE" w:rsidRDefault="00A900E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="00A36B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26.928,28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24043" w14:textId="77777777" w:rsidR="007E1BAE" w:rsidRPr="002253AE" w:rsidRDefault="00300D2D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303.799,76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A7F9B1" w14:textId="77777777" w:rsidR="007E1BAE" w:rsidRPr="002253AE" w:rsidRDefault="00300D2D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97,28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22F3B7" w14:textId="77777777" w:rsidR="007E1BAE" w:rsidRPr="002253AE" w:rsidRDefault="006876B8" w:rsidP="00000638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  <w:r w:rsidR="00300D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2,93</w:t>
            </w:r>
          </w:p>
        </w:tc>
      </w:tr>
      <w:tr w:rsidR="007E1BAE" w:rsidRPr="002253AE" w14:paraId="65E48F04" w14:textId="77777777" w:rsidTr="00906B43">
        <w:trPr>
          <w:trHeight w:val="26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A11D67" w14:textId="77777777" w:rsidR="007E1BAE" w:rsidRPr="002253AE" w:rsidRDefault="00296B1C" w:rsidP="007E1B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1C1ED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A95BD8" w14:textId="77777777" w:rsidR="007E1BAE" w:rsidRPr="002253AE" w:rsidRDefault="007E1BAE" w:rsidP="00906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353088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939AAF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A21E24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6B1A80" w14:textId="77777777" w:rsidR="007E1BAE" w:rsidRPr="002253AE" w:rsidRDefault="007E1BAE" w:rsidP="00000638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7E1BAE" w:rsidRPr="002253AE" w14:paraId="2113A98E" w14:textId="77777777" w:rsidTr="00906B43">
        <w:trPr>
          <w:trHeight w:val="26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0C4F8996" w14:textId="77777777" w:rsidR="007E1BAE" w:rsidRPr="002253AE" w:rsidRDefault="00296B1C" w:rsidP="00296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UKUPNO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25E0001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256A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  <w:r w:rsidR="00A36B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67.737,06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B330F43" w14:textId="77777777" w:rsidR="007E1BAE" w:rsidRPr="002253AE" w:rsidRDefault="00A36B0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417.467,00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00DD6292" w14:textId="77777777" w:rsidR="007E1BAE" w:rsidRPr="002253AE" w:rsidRDefault="00A36B0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343.040,54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81B3DBA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300D2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335.750,94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581BD55F" w14:textId="77777777" w:rsidR="007E1BAE" w:rsidRPr="002253AE" w:rsidRDefault="004F7718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  <w:r w:rsidR="006876B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  <w:r w:rsidR="00300D2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5,40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ED589C9" w14:textId="77777777" w:rsidR="007E1BAE" w:rsidRPr="002253AE" w:rsidRDefault="001C70FE" w:rsidP="00000638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</w:t>
            </w:r>
            <w:r w:rsidR="00300D2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97,88</w:t>
            </w:r>
          </w:p>
        </w:tc>
      </w:tr>
      <w:tr w:rsidR="007E1BAE" w:rsidRPr="002253AE" w14:paraId="3ECB8893" w14:textId="77777777" w:rsidTr="00906B43">
        <w:trPr>
          <w:trHeight w:val="26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5C75A5" w14:textId="77777777" w:rsidR="007E1BAE" w:rsidRPr="002253AE" w:rsidRDefault="00296B1C" w:rsidP="007E1B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19F23E" w14:textId="77777777" w:rsidR="007E1BAE" w:rsidRPr="002253AE" w:rsidRDefault="00256A8B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A36B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37.248,38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6EE9F3" w14:textId="77777777" w:rsidR="007E1BAE" w:rsidRPr="002253AE" w:rsidRDefault="00A36B0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410.467,00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11D64F" w14:textId="77777777" w:rsidR="007E1BAE" w:rsidRPr="002253AE" w:rsidRDefault="00585CA6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="00A36B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38.416,80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577608" w14:textId="77777777" w:rsidR="007E1BAE" w:rsidRPr="002253AE" w:rsidRDefault="00300D2D" w:rsidP="00585CA6">
            <w:pPr>
              <w:spacing w:after="0" w:line="240" w:lineRule="auto"/>
              <w:ind w:firstLineChars="100" w:firstLine="18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331.272,20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57E8E0" w14:textId="77777777" w:rsidR="007E1BAE" w:rsidRPr="002253AE" w:rsidRDefault="00300D2D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139,63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D964A" w14:textId="77777777" w:rsidR="007E1BAE" w:rsidRPr="002253AE" w:rsidRDefault="00300D2D" w:rsidP="00000638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97,89</w:t>
            </w:r>
          </w:p>
        </w:tc>
      </w:tr>
      <w:tr w:rsidR="007E1BAE" w:rsidRPr="002253AE" w14:paraId="4BEA2F06" w14:textId="77777777" w:rsidTr="004942CE">
        <w:trPr>
          <w:trHeight w:val="26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433443" w14:textId="77777777" w:rsidR="007E1BAE" w:rsidRPr="002253AE" w:rsidRDefault="00296B1C" w:rsidP="007E1B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38C568" w14:textId="77777777" w:rsidR="007E1BAE" w:rsidRPr="002253AE" w:rsidRDefault="00A36B0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30.488,68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FA032B" w14:textId="77777777" w:rsidR="007E1BAE" w:rsidRPr="002253AE" w:rsidRDefault="00121F6B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="00A36B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58610A" w14:textId="77777777" w:rsidR="007E1BAE" w:rsidRPr="002253AE" w:rsidRDefault="00A36B0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4.623,74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8F7CFF" w14:textId="77777777" w:rsidR="007E1BAE" w:rsidRPr="002253AE" w:rsidRDefault="00300D2D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4.478,74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BB1D99" w14:textId="77777777" w:rsidR="007E1BAE" w:rsidRPr="002253AE" w:rsidRDefault="00300D2D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14,69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6B640D" w14:textId="1D8B8E71" w:rsidR="007E1BAE" w:rsidRPr="002253AE" w:rsidRDefault="00D1616A" w:rsidP="00000638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68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  <w:r w:rsidR="00300D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6,86</w:t>
            </w:r>
          </w:p>
        </w:tc>
      </w:tr>
      <w:tr w:rsidR="007E1BAE" w:rsidRPr="002253AE" w14:paraId="68A883C7" w14:textId="77777777" w:rsidTr="004942CE">
        <w:trPr>
          <w:trHeight w:val="268"/>
        </w:trPr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21ACD06" w14:textId="77777777" w:rsidR="007E1BAE" w:rsidRPr="002253AE" w:rsidRDefault="007E1BAE" w:rsidP="00296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RAZLIKA - VIŠAK/MANJA</w:t>
            </w:r>
            <w:r w:rsidR="00295902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93842D7" w14:textId="77777777" w:rsidR="007E1BAE" w:rsidRPr="002253AE" w:rsidRDefault="00A36B0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44.561,43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E68D5B2" w14:textId="77777777" w:rsidR="007E1BAE" w:rsidRPr="002253AE" w:rsidRDefault="00A36B0E" w:rsidP="00A36B0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  <w:r w:rsidR="007E1BAE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6DAF238" w14:textId="77777777" w:rsidR="007E1BAE" w:rsidRPr="002253AE" w:rsidRDefault="00A36B0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-16.112,26</w:t>
            </w:r>
            <w:r w:rsidR="00B177D0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388B1F0B" w14:textId="77777777" w:rsidR="007E1BAE" w:rsidRPr="002253AE" w:rsidRDefault="00300D2D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-31.951,18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C32B486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5044561D" w14:textId="362963E1" w:rsidR="007E1BAE" w:rsidRPr="002253AE" w:rsidRDefault="00D1616A" w:rsidP="00000638">
            <w:pPr>
              <w:spacing w:after="0" w:line="240" w:lineRule="auto"/>
              <w:ind w:left="-189" w:firstLineChars="92" w:firstLine="166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000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5731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198,30</w:t>
            </w:r>
            <w:r w:rsidR="007E1BAE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23D4630E" w14:textId="77777777" w:rsidR="00432775" w:rsidRDefault="00432775" w:rsidP="003734C2">
      <w:pPr>
        <w:rPr>
          <w:rFonts w:ascii="Arial" w:hAnsi="Arial" w:cs="Arial"/>
          <w:b/>
          <w:bCs/>
          <w:sz w:val="18"/>
          <w:szCs w:val="18"/>
        </w:rPr>
      </w:pPr>
    </w:p>
    <w:p w14:paraId="25E8C9EF" w14:textId="77777777" w:rsidR="002253AE" w:rsidRDefault="002253AE" w:rsidP="003734C2">
      <w:pPr>
        <w:rPr>
          <w:rFonts w:ascii="Arial" w:hAnsi="Arial" w:cs="Arial"/>
          <w:b/>
          <w:bCs/>
          <w:sz w:val="18"/>
          <w:szCs w:val="18"/>
        </w:rPr>
      </w:pPr>
    </w:p>
    <w:p w14:paraId="6E9791FD" w14:textId="77777777" w:rsidR="002253AE" w:rsidRDefault="002253AE" w:rsidP="003734C2">
      <w:pPr>
        <w:rPr>
          <w:rFonts w:ascii="Arial" w:hAnsi="Arial" w:cs="Arial"/>
          <w:b/>
          <w:bCs/>
          <w:sz w:val="18"/>
          <w:szCs w:val="18"/>
        </w:rPr>
      </w:pPr>
    </w:p>
    <w:p w14:paraId="47C891A4" w14:textId="77777777" w:rsidR="00295902" w:rsidRPr="002253AE" w:rsidRDefault="00295902" w:rsidP="003734C2">
      <w:pPr>
        <w:rPr>
          <w:rFonts w:ascii="Arial" w:hAnsi="Arial" w:cs="Arial"/>
          <w:b/>
          <w:bCs/>
        </w:rPr>
      </w:pPr>
      <w:r w:rsidRPr="002253AE">
        <w:rPr>
          <w:rFonts w:ascii="Arial" w:hAnsi="Arial" w:cs="Arial"/>
          <w:b/>
          <w:bCs/>
        </w:rPr>
        <w:lastRenderedPageBreak/>
        <w:t>SAŽETAK RAČUNA FINANCIRANJA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83"/>
        <w:gridCol w:w="1251"/>
        <w:gridCol w:w="1245"/>
        <w:gridCol w:w="1250"/>
        <w:gridCol w:w="1251"/>
        <w:gridCol w:w="1042"/>
        <w:gridCol w:w="1042"/>
      </w:tblGrid>
      <w:tr w:rsidR="009447F3" w:rsidRPr="002253AE" w14:paraId="39E6E2C5" w14:textId="77777777" w:rsidTr="00906B43">
        <w:tc>
          <w:tcPr>
            <w:tcW w:w="2518" w:type="dxa"/>
            <w:vAlign w:val="center"/>
          </w:tcPr>
          <w:p w14:paraId="74882ECB" w14:textId="6A47AA9B" w:rsidR="009447F3" w:rsidRPr="002253AE" w:rsidRDefault="009447F3" w:rsidP="000006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Brojčana oznaka i naziv</w:t>
            </w:r>
          </w:p>
        </w:tc>
        <w:tc>
          <w:tcPr>
            <w:tcW w:w="1276" w:type="dxa"/>
            <w:vAlign w:val="center"/>
          </w:tcPr>
          <w:p w14:paraId="2778295E" w14:textId="77777777" w:rsidR="008860D5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Izvršenje</w:t>
            </w:r>
          </w:p>
          <w:p w14:paraId="47D7CC4C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6876B8">
              <w:rPr>
                <w:rFonts w:ascii="Arial" w:hAnsi="Arial" w:cs="Arial"/>
                <w:b/>
                <w:bCs/>
                <w:sz w:val="18"/>
                <w:szCs w:val="18"/>
              </w:rPr>
              <w:t>1-12</w:t>
            </w:r>
            <w:r w:rsidR="00A36B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.2024</w:t>
            </w: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3CC54E96" w14:textId="77777777" w:rsidR="009447F3" w:rsidRPr="002253AE" w:rsidRDefault="009447F3" w:rsidP="002253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Izvorni plan ili</w:t>
            </w:r>
            <w:r w:rsidR="002253AE" w:rsidRPr="00225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36B0E">
              <w:rPr>
                <w:rFonts w:ascii="Arial" w:hAnsi="Arial" w:cs="Arial"/>
                <w:b/>
                <w:bCs/>
                <w:sz w:val="18"/>
                <w:szCs w:val="18"/>
              </w:rPr>
              <w:t>rebalans 2025</w:t>
            </w: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14:paraId="78649533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Tekući plan         </w:t>
            </w:r>
          </w:p>
          <w:p w14:paraId="45BCB505" w14:textId="77777777" w:rsidR="009447F3" w:rsidRPr="002253AE" w:rsidRDefault="00A36B0E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2025</w:t>
            </w:r>
            <w:r w:rsidR="009447F3"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73796571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  <w:p w14:paraId="13359E15" w14:textId="77777777" w:rsidR="009447F3" w:rsidRPr="002253AE" w:rsidRDefault="006876B8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1-12..202</w:t>
            </w:r>
            <w:r w:rsidR="00A36B0E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0AFE5330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92" w:type="dxa"/>
            <w:vAlign w:val="center"/>
          </w:tcPr>
          <w:p w14:paraId="59CA1DD2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9447F3" w:rsidRPr="002253AE" w14:paraId="039AFB90" w14:textId="77777777" w:rsidTr="008860D5">
        <w:tc>
          <w:tcPr>
            <w:tcW w:w="2518" w:type="dxa"/>
            <w:vAlign w:val="center"/>
          </w:tcPr>
          <w:p w14:paraId="69968577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276" w:type="dxa"/>
            <w:vAlign w:val="center"/>
          </w:tcPr>
          <w:p w14:paraId="4E8B27A2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276" w:type="dxa"/>
            <w:vAlign w:val="center"/>
          </w:tcPr>
          <w:p w14:paraId="4B7C3FED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5" w:type="dxa"/>
            <w:vAlign w:val="center"/>
          </w:tcPr>
          <w:p w14:paraId="78AD4B46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76" w:type="dxa"/>
            <w:vAlign w:val="center"/>
          </w:tcPr>
          <w:p w14:paraId="2B2DB704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851" w:type="dxa"/>
            <w:vAlign w:val="center"/>
          </w:tcPr>
          <w:p w14:paraId="13D2CE3A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6=5/2*100</w:t>
            </w:r>
          </w:p>
        </w:tc>
        <w:tc>
          <w:tcPr>
            <w:tcW w:w="992" w:type="dxa"/>
            <w:vAlign w:val="center"/>
          </w:tcPr>
          <w:p w14:paraId="193E3C46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7=5/4*100</w:t>
            </w:r>
          </w:p>
        </w:tc>
      </w:tr>
      <w:tr w:rsidR="009447F3" w:rsidRPr="002253AE" w14:paraId="0E6DACE1" w14:textId="77777777" w:rsidTr="009447F3">
        <w:tc>
          <w:tcPr>
            <w:tcW w:w="2518" w:type="dxa"/>
          </w:tcPr>
          <w:p w14:paraId="6BB16447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8 Primici od financijske imovine i zaduženja</w:t>
            </w:r>
          </w:p>
        </w:tc>
        <w:tc>
          <w:tcPr>
            <w:tcW w:w="1276" w:type="dxa"/>
          </w:tcPr>
          <w:p w14:paraId="0F60F500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A3C88F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751DB55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582D5D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3D10854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5393330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447F3" w:rsidRPr="002253AE" w14:paraId="2246A161" w14:textId="77777777" w:rsidTr="009447F3">
        <w:tc>
          <w:tcPr>
            <w:tcW w:w="2518" w:type="dxa"/>
          </w:tcPr>
          <w:p w14:paraId="208DF18E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5 Izdaci za financijsku imovinu i otplatu zajmova</w:t>
            </w:r>
          </w:p>
        </w:tc>
        <w:tc>
          <w:tcPr>
            <w:tcW w:w="1276" w:type="dxa"/>
          </w:tcPr>
          <w:p w14:paraId="0078A8CF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F0C6F8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30DF3A8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495807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DC2B432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187D016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447F3" w:rsidRPr="002253AE" w14:paraId="2CEAC8A7" w14:textId="77777777" w:rsidTr="009447F3">
        <w:tc>
          <w:tcPr>
            <w:tcW w:w="2518" w:type="dxa"/>
          </w:tcPr>
          <w:p w14:paraId="0AA9C15C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Razlika primitaka i izdataka</w:t>
            </w:r>
          </w:p>
        </w:tc>
        <w:tc>
          <w:tcPr>
            <w:tcW w:w="1276" w:type="dxa"/>
          </w:tcPr>
          <w:p w14:paraId="2D6BA5F6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CAA968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D1C8DC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135DBC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AFFEFE1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7A26ADE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447F3" w:rsidRPr="002253AE" w14:paraId="30A8EE54" w14:textId="77777777" w:rsidTr="00367FBC">
        <w:tc>
          <w:tcPr>
            <w:tcW w:w="2518" w:type="dxa"/>
            <w:shd w:val="clear" w:color="auto" w:fill="76D5EA" w:themeFill="background2" w:themeFillShade="BF"/>
          </w:tcPr>
          <w:p w14:paraId="462067D7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Preneseni višak iz prethodne</w:t>
            </w:r>
          </w:p>
          <w:p w14:paraId="643C6D48" w14:textId="77777777" w:rsidR="008860D5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godine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7D395C9D" w14:textId="77777777" w:rsidR="009447F3" w:rsidRPr="002253AE" w:rsidRDefault="00A36B0E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36.399,80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1CA2DDBC" w14:textId="77777777" w:rsidR="009447F3" w:rsidRPr="002253AE" w:rsidRDefault="00A36B0E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76D5EA" w:themeFill="background2" w:themeFillShade="BF"/>
            <w:vAlign w:val="center"/>
          </w:tcPr>
          <w:p w14:paraId="2F2141F3" w14:textId="579C5A35" w:rsidR="009447F3" w:rsidRPr="002253AE" w:rsidRDefault="00300D2D" w:rsidP="00585C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57315D">
              <w:rPr>
                <w:rFonts w:ascii="Arial" w:hAnsi="Arial" w:cs="Arial"/>
                <w:b/>
                <w:bCs/>
                <w:sz w:val="18"/>
                <w:szCs w:val="18"/>
              </w:rPr>
              <w:t>81.261,23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29EBDA26" w14:textId="77777777" w:rsidR="009447F3" w:rsidRPr="002253AE" w:rsidRDefault="00300D2D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81.261,23</w:t>
            </w:r>
          </w:p>
        </w:tc>
        <w:tc>
          <w:tcPr>
            <w:tcW w:w="851" w:type="dxa"/>
            <w:shd w:val="clear" w:color="auto" w:fill="76D5EA" w:themeFill="background2" w:themeFillShade="BF"/>
            <w:vAlign w:val="center"/>
          </w:tcPr>
          <w:p w14:paraId="581CB999" w14:textId="0616DD03" w:rsidR="009447F3" w:rsidRPr="002253AE" w:rsidRDefault="00071289" w:rsidP="000712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006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223,25</w:t>
            </w:r>
          </w:p>
        </w:tc>
        <w:tc>
          <w:tcPr>
            <w:tcW w:w="992" w:type="dxa"/>
            <w:shd w:val="clear" w:color="auto" w:fill="76D5EA" w:themeFill="background2" w:themeFillShade="BF"/>
            <w:vAlign w:val="center"/>
          </w:tcPr>
          <w:p w14:paraId="6108FB98" w14:textId="77777777" w:rsidR="009447F3" w:rsidRPr="002253AE" w:rsidRDefault="003B3F1B" w:rsidP="00DF65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57315D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9447F3" w:rsidRPr="002253AE" w14:paraId="1093EC2F" w14:textId="77777777" w:rsidTr="00367FBC">
        <w:tc>
          <w:tcPr>
            <w:tcW w:w="2518" w:type="dxa"/>
            <w:shd w:val="clear" w:color="auto" w:fill="76D5EA" w:themeFill="background2" w:themeFillShade="BF"/>
          </w:tcPr>
          <w:p w14:paraId="5BCBECDF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Prijenos viška ili manjka u slijedeće razdoblje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394B177B" w14:textId="77777777" w:rsidR="009447F3" w:rsidRPr="002253AE" w:rsidRDefault="00A36B0E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81.261,23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10D095D0" w14:textId="77777777" w:rsidR="009447F3" w:rsidRPr="002253AE" w:rsidRDefault="006E31B4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76D5EA" w:themeFill="background2" w:themeFillShade="BF"/>
            <w:vAlign w:val="center"/>
          </w:tcPr>
          <w:p w14:paraId="2D101505" w14:textId="69E2E620" w:rsidR="009447F3" w:rsidRPr="002253AE" w:rsidRDefault="003B3F1B" w:rsidP="003B3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57315D">
              <w:rPr>
                <w:rFonts w:ascii="Arial" w:hAnsi="Arial" w:cs="Arial"/>
                <w:b/>
                <w:bCs/>
                <w:sz w:val="18"/>
                <w:szCs w:val="18"/>
              </w:rPr>
              <w:t>65.148,97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5D032D18" w14:textId="77777777" w:rsidR="009447F3" w:rsidRPr="002253AE" w:rsidRDefault="00071289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49.310,05</w:t>
            </w:r>
          </w:p>
        </w:tc>
        <w:tc>
          <w:tcPr>
            <w:tcW w:w="851" w:type="dxa"/>
            <w:shd w:val="clear" w:color="auto" w:fill="76D5EA" w:themeFill="background2" w:themeFillShade="BF"/>
            <w:vAlign w:val="center"/>
          </w:tcPr>
          <w:p w14:paraId="5DE5C81C" w14:textId="77777777" w:rsidR="009447F3" w:rsidRPr="002253AE" w:rsidRDefault="006876B8" w:rsidP="006876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="00071289">
              <w:rPr>
                <w:rFonts w:ascii="Arial" w:hAnsi="Arial" w:cs="Arial"/>
                <w:b/>
                <w:bCs/>
                <w:sz w:val="18"/>
                <w:szCs w:val="18"/>
              </w:rPr>
              <w:t>60,68</w:t>
            </w:r>
          </w:p>
        </w:tc>
        <w:tc>
          <w:tcPr>
            <w:tcW w:w="992" w:type="dxa"/>
            <w:shd w:val="clear" w:color="auto" w:fill="76D5EA" w:themeFill="background2" w:themeFillShade="BF"/>
            <w:vAlign w:val="center"/>
          </w:tcPr>
          <w:p w14:paraId="533AC492" w14:textId="77777777" w:rsidR="009447F3" w:rsidRPr="00CA52C6" w:rsidRDefault="0057315D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52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75,69</w:t>
            </w:r>
          </w:p>
        </w:tc>
      </w:tr>
    </w:tbl>
    <w:p w14:paraId="15D88412" w14:textId="77777777" w:rsidR="00295902" w:rsidRPr="002253AE" w:rsidRDefault="00295902" w:rsidP="003734C2">
      <w:pPr>
        <w:rPr>
          <w:rFonts w:ascii="Arial" w:hAnsi="Arial" w:cs="Arial"/>
          <w:b/>
          <w:bCs/>
          <w:sz w:val="18"/>
          <w:szCs w:val="18"/>
          <w:highlight w:val="blue"/>
        </w:rPr>
      </w:pPr>
    </w:p>
    <w:p w14:paraId="2E4F5479" w14:textId="77777777" w:rsidR="00877FC0" w:rsidRPr="002253AE" w:rsidRDefault="00877FC0" w:rsidP="00877FC0">
      <w:pPr>
        <w:jc w:val="center"/>
        <w:rPr>
          <w:rFonts w:ascii="Arial" w:hAnsi="Arial" w:cs="Arial"/>
          <w:b/>
        </w:rPr>
      </w:pPr>
      <w:r w:rsidRPr="002253AE">
        <w:rPr>
          <w:rFonts w:ascii="Arial" w:hAnsi="Arial" w:cs="Arial"/>
          <w:b/>
        </w:rPr>
        <w:t>Članak 2.</w:t>
      </w:r>
    </w:p>
    <w:p w14:paraId="346866B2" w14:textId="77777777" w:rsidR="0078310C" w:rsidRPr="002253AE" w:rsidRDefault="000F17AC" w:rsidP="00877FC0">
      <w:pPr>
        <w:jc w:val="both"/>
        <w:rPr>
          <w:rFonts w:ascii="Arial" w:hAnsi="Arial" w:cs="Arial"/>
        </w:rPr>
      </w:pPr>
      <w:r w:rsidRPr="002253AE">
        <w:rPr>
          <w:rFonts w:ascii="Arial" w:hAnsi="Arial" w:cs="Arial"/>
        </w:rPr>
        <w:t>Prihodi i rashodi</w:t>
      </w:r>
      <w:r w:rsidR="001C70FE" w:rsidRPr="002253AE">
        <w:rPr>
          <w:rFonts w:ascii="Arial" w:hAnsi="Arial" w:cs="Arial"/>
        </w:rPr>
        <w:t xml:space="preserve"> izvršeni </w:t>
      </w:r>
      <w:r w:rsidR="00371236" w:rsidRPr="002253AE">
        <w:rPr>
          <w:rFonts w:ascii="Arial" w:hAnsi="Arial" w:cs="Arial"/>
        </w:rPr>
        <w:t>202</w:t>
      </w:r>
      <w:r w:rsidR="003B3F1B">
        <w:rPr>
          <w:rFonts w:ascii="Arial" w:hAnsi="Arial" w:cs="Arial"/>
        </w:rPr>
        <w:t>5</w:t>
      </w:r>
      <w:r w:rsidR="00877FC0" w:rsidRPr="002253AE">
        <w:rPr>
          <w:rFonts w:ascii="Arial" w:hAnsi="Arial" w:cs="Arial"/>
        </w:rPr>
        <w:t>. godin</w:t>
      </w:r>
      <w:r w:rsidR="00371236" w:rsidRPr="002253AE">
        <w:rPr>
          <w:rFonts w:ascii="Arial" w:hAnsi="Arial" w:cs="Arial"/>
        </w:rPr>
        <w:t>e</w:t>
      </w:r>
      <w:r w:rsidRPr="002253AE">
        <w:rPr>
          <w:rFonts w:ascii="Arial" w:hAnsi="Arial" w:cs="Arial"/>
        </w:rPr>
        <w:t xml:space="preserve"> u Računu prihoda i rashoda</w:t>
      </w:r>
      <w:r w:rsidR="00371236" w:rsidRPr="002253AE">
        <w:rPr>
          <w:rFonts w:ascii="Arial" w:hAnsi="Arial" w:cs="Arial"/>
        </w:rPr>
        <w:t xml:space="preserve">, uz usporedbu prethodne godine, </w:t>
      </w:r>
      <w:r w:rsidRPr="002253AE">
        <w:rPr>
          <w:rFonts w:ascii="Arial" w:hAnsi="Arial" w:cs="Arial"/>
        </w:rPr>
        <w:t xml:space="preserve">kako slijedi: </w:t>
      </w:r>
    </w:p>
    <w:p w14:paraId="2438921B" w14:textId="77777777" w:rsidR="00877FC0" w:rsidRPr="002253AE" w:rsidRDefault="00877FC0" w:rsidP="002253A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253AE">
        <w:rPr>
          <w:rFonts w:ascii="Arial" w:hAnsi="Arial" w:cs="Arial"/>
          <w:b/>
          <w:sz w:val="18"/>
          <w:szCs w:val="18"/>
        </w:rPr>
        <w:t>Tablica 1. Prihodi i rashodi prema ekonomskoj klasifikaciji</w:t>
      </w: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2230"/>
        <w:gridCol w:w="1144"/>
        <w:gridCol w:w="1226"/>
        <w:gridCol w:w="1265"/>
        <w:gridCol w:w="1344"/>
        <w:gridCol w:w="1042"/>
        <w:gridCol w:w="1047"/>
      </w:tblGrid>
      <w:tr w:rsidR="00B96505" w:rsidRPr="002253AE" w14:paraId="75BCE073" w14:textId="77777777" w:rsidTr="00B96505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9EEAD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  <w:p w14:paraId="145626A9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1ABC7" w14:textId="77777777" w:rsidR="00000638" w:rsidRDefault="006876B8" w:rsidP="006876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</w:p>
          <w:p w14:paraId="4815E3A2" w14:textId="6CE97385" w:rsidR="00615731" w:rsidRPr="002253AE" w:rsidRDefault="006876B8" w:rsidP="006876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I-XII 2024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CA8736" w14:textId="77777777" w:rsidR="00615731" w:rsidRPr="002253AE" w:rsidRDefault="003B3F1B" w:rsidP="00B965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Izvorni plan 2025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1CF6D" w14:textId="77777777" w:rsidR="00615731" w:rsidRPr="002253AE" w:rsidRDefault="003B3F1B" w:rsidP="00126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2025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F53E7" w14:textId="650EBF55" w:rsidR="00615731" w:rsidRPr="002253AE" w:rsidRDefault="001C70FE" w:rsidP="00126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     </w:t>
            </w:r>
            <w:r w:rsidR="00F906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I-XII </w:t>
            </w:r>
            <w:r w:rsidR="003B3F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 w:rsidR="007818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28D73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94806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</w:tr>
      <w:tr w:rsidR="00B96505" w:rsidRPr="002253AE" w14:paraId="00C81526" w14:textId="77777777" w:rsidTr="00DF65CE">
        <w:trPr>
          <w:trHeight w:val="1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B868C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5A2EA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7E716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92F68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C584A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3C881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6=5/2*100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FCA7E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7=5/4*100</w:t>
            </w:r>
          </w:p>
        </w:tc>
      </w:tr>
      <w:tr w:rsidR="00B96505" w:rsidRPr="002253AE" w14:paraId="5AFF095D" w14:textId="77777777" w:rsidTr="00DF65CE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6E01053" w14:textId="77777777" w:rsidR="00615731" w:rsidRPr="002253AE" w:rsidRDefault="00CD2896" w:rsidP="00615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CDEF880" w14:textId="77777777" w:rsidR="00615731" w:rsidRPr="002253AE" w:rsidRDefault="00CD2896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</w:t>
            </w:r>
            <w:r w:rsidR="005B21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312.298,49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00F01C42" w14:textId="77777777" w:rsidR="00615731" w:rsidRPr="002253AE" w:rsidRDefault="00B96505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417.467,00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678D254" w14:textId="77777777" w:rsidR="00615731" w:rsidRPr="002253AE" w:rsidRDefault="00CE346C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</w:t>
            </w:r>
            <w:r w:rsidR="00B965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326.928,28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429A125" w14:textId="77777777" w:rsidR="00615731" w:rsidRPr="002253AE" w:rsidRDefault="00615731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1645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</w:t>
            </w:r>
            <w:r w:rsidR="00C27E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  <w:r w:rsidR="00B965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03.799,76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C17CDC0" w14:textId="77777777" w:rsidR="00615731" w:rsidRPr="002253AE" w:rsidRDefault="00615731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CD2896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  </w:t>
            </w:r>
            <w:r w:rsidR="00B965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97,28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83D1943" w14:textId="77777777" w:rsidR="00615731" w:rsidRPr="002253AE" w:rsidRDefault="00615731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  <w:r w:rsidR="00CD2896" w:rsidRPr="002253AE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     </w:t>
            </w:r>
            <w:r w:rsidR="008C784D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92,9</w:t>
            </w:r>
            <w:r w:rsidR="00B96505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3</w:t>
            </w:r>
          </w:p>
        </w:tc>
      </w:tr>
      <w:tr w:rsidR="00B96505" w:rsidRPr="002253AE" w14:paraId="5713F29C" w14:textId="77777777" w:rsidTr="00DF65CE">
        <w:trPr>
          <w:trHeight w:val="1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5170F87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0BB603E" w14:textId="77777777" w:rsidR="002F5D26" w:rsidRPr="002253AE" w:rsidRDefault="005B210E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312.298,49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F681F31" w14:textId="77777777" w:rsidR="002F5D26" w:rsidRPr="002253AE" w:rsidRDefault="00B96505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417.467,00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8814729" w14:textId="77777777" w:rsidR="002F5D26" w:rsidRPr="002253AE" w:rsidRDefault="00CE346C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B96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326.928,28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293B7C1" w14:textId="77777777" w:rsidR="002F5D26" w:rsidRPr="002253AE" w:rsidRDefault="00F876AE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F906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="00B96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03.799,76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7FD2201" w14:textId="77777777" w:rsidR="002F5D26" w:rsidRPr="002253AE" w:rsidRDefault="00F876AE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B96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50E77BA" w14:textId="77777777" w:rsidR="002F5D26" w:rsidRPr="002253AE" w:rsidRDefault="00F876AE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8C7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92,9</w:t>
            </w:r>
            <w:r w:rsidR="00B9650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</w:tr>
      <w:tr w:rsidR="00B96505" w:rsidRPr="002253AE" w14:paraId="71BA697E" w14:textId="77777777" w:rsidTr="00DF65CE">
        <w:trPr>
          <w:trHeight w:val="3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F34EC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E0AF2" w14:textId="77777777" w:rsidR="002F5D26" w:rsidRPr="002253AE" w:rsidRDefault="003B3F1B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60.298,57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684C9" w14:textId="77777777" w:rsidR="002F5D26" w:rsidRPr="002253AE" w:rsidRDefault="00B96505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0E691" w14:textId="77777777" w:rsidR="002F5D26" w:rsidRPr="002253AE" w:rsidRDefault="00B96505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22.051,54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1A1BF6" w14:textId="77777777" w:rsidR="002F5D26" w:rsidRPr="002253AE" w:rsidRDefault="00B96505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22.051,54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AF6EE8" w14:textId="77777777" w:rsidR="002F5D26" w:rsidRPr="002253AE" w:rsidRDefault="008C784D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E7925" w14:textId="77777777" w:rsidR="002F5D26" w:rsidRPr="002253AE" w:rsidRDefault="00C27E4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96505" w:rsidRPr="002253AE" w14:paraId="2E2AA9CD" w14:textId="77777777" w:rsidTr="00B96505">
        <w:trPr>
          <w:trHeight w:val="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6DEA95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 Prihodi od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CD0781" w14:textId="77777777" w:rsidR="002F5D26" w:rsidRPr="002253AE" w:rsidRDefault="003B3F1B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AB5D62" w14:textId="77777777" w:rsidR="00000638" w:rsidRDefault="00B96505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</w:t>
            </w:r>
          </w:p>
          <w:p w14:paraId="4AA5D49A" w14:textId="0227D1E1" w:rsidR="002F5D26" w:rsidRPr="002253AE" w:rsidRDefault="00B96505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2F5D26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D9F1C9" w14:textId="77777777" w:rsidR="002F5D26" w:rsidRPr="002253AE" w:rsidRDefault="001D02F5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</w:t>
            </w:r>
            <w:r w:rsidR="00B96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D7DB2" w14:textId="77777777" w:rsidR="002F5D26" w:rsidRPr="002253AE" w:rsidRDefault="00B96505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6BC8B1" w14:textId="77777777" w:rsidR="002F5D26" w:rsidRPr="002253AE" w:rsidRDefault="008C784D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FEFC88" w14:textId="77777777" w:rsidR="002F5D26" w:rsidRPr="002253AE" w:rsidRDefault="00C27E4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  <w:r w:rsidR="00B9650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96505" w:rsidRPr="002253AE" w14:paraId="283BE3EB" w14:textId="77777777" w:rsidTr="00DF65C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0E063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66 Prihodi od prodaje proizvoda i robe te pruženih usluga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6D0850" w14:textId="77777777" w:rsidR="002F5D26" w:rsidRPr="002253AE" w:rsidRDefault="003B3F1B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E4B071" w14:textId="77777777" w:rsidR="002F5D26" w:rsidRPr="002253AE" w:rsidRDefault="00B96505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="001645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51AE8E" w14:textId="77777777" w:rsidR="002F5D26" w:rsidRPr="002253AE" w:rsidRDefault="00A72F3B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green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</w:t>
            </w:r>
            <w:r w:rsidR="00B96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22659" w14:textId="77777777" w:rsidR="002F5D26" w:rsidRPr="002253AE" w:rsidRDefault="00B96505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A5F6FB" w14:textId="77777777" w:rsidR="002F5D26" w:rsidRPr="002253AE" w:rsidRDefault="008C784D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0BC13" w14:textId="77777777" w:rsidR="002F5D26" w:rsidRPr="002253AE" w:rsidRDefault="00C27E4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  <w:r w:rsidR="00B9650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96505" w:rsidRPr="002253AE" w14:paraId="5ADAEE71" w14:textId="77777777" w:rsidTr="00DF65CE">
        <w:trPr>
          <w:trHeight w:val="5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A37EFF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4BC132" w14:textId="77777777" w:rsidR="002F5D26" w:rsidRPr="002253AE" w:rsidRDefault="00F9060E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5B21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31.134,43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3F7CB9" w14:textId="77777777" w:rsidR="002F5D26" w:rsidRPr="002253AE" w:rsidRDefault="00EB792E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327.467</w:t>
            </w:r>
            <w:r w:rsidR="00B96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A08BB7" w14:textId="77777777" w:rsidR="002F5D26" w:rsidRPr="002253AE" w:rsidRDefault="00B96505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266.102,67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1CC266" w14:textId="77777777" w:rsidR="002F5D26" w:rsidRPr="002253AE" w:rsidRDefault="00C27E48" w:rsidP="004942CE">
            <w:pPr>
              <w:spacing w:after="0" w:line="240" w:lineRule="auto"/>
              <w:ind w:leftChars="-6" w:hangingChars="7" w:hanging="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B96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42.974,15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5A9180" w14:textId="77777777" w:rsidR="002F5D26" w:rsidRPr="002253AE" w:rsidRDefault="00F876AE" w:rsidP="004942C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8C78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8CE284" w14:textId="77777777" w:rsidR="002F5D26" w:rsidRPr="002253AE" w:rsidRDefault="00C27E4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  <w:r w:rsidR="00B9650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1,31</w:t>
            </w:r>
          </w:p>
        </w:tc>
      </w:tr>
      <w:tr w:rsidR="00B96505" w:rsidRPr="002253AE" w14:paraId="28ECCAEC" w14:textId="77777777" w:rsidTr="00DF65CE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1BFA5512" w14:textId="77777777" w:rsidR="00CD2896" w:rsidRPr="002253AE" w:rsidRDefault="00CD289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6D9E5C38" w14:textId="77777777" w:rsidR="00CD2896" w:rsidRPr="002253AE" w:rsidRDefault="00C27E48" w:rsidP="000006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</w:t>
            </w:r>
            <w:r w:rsidR="008C784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67.737,06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6F44B186" w14:textId="77777777" w:rsidR="00CD2896" w:rsidRPr="002253AE" w:rsidRDefault="008E76E7" w:rsidP="00DF65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417.467,00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395B5226" w14:textId="77777777" w:rsidR="00CD2896" w:rsidRPr="002253AE" w:rsidRDefault="008E76E7" w:rsidP="000006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343.040,54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7F6B4801" w14:textId="77777777" w:rsidR="00CD2896" w:rsidRPr="002253AE" w:rsidRDefault="008E76E7" w:rsidP="00C27E48">
            <w:pPr>
              <w:spacing w:after="0" w:line="240" w:lineRule="auto"/>
              <w:ind w:leftChars="-6" w:hangingChars="7" w:hanging="13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335.750,94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51B64426" w14:textId="77777777" w:rsidR="00CD2896" w:rsidRPr="002253AE" w:rsidRDefault="006131D4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</w:t>
            </w:r>
            <w:r w:rsidR="009A4D1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</w:t>
            </w:r>
            <w:r w:rsidR="00D15ECB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58615453" w14:textId="77777777" w:rsidR="00CD2896" w:rsidRPr="002253AE" w:rsidRDefault="00F00268" w:rsidP="006131D4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  <w:t>97,88</w:t>
            </w:r>
          </w:p>
        </w:tc>
      </w:tr>
      <w:tr w:rsidR="00B96505" w:rsidRPr="002253AE" w14:paraId="7133D374" w14:textId="77777777" w:rsidTr="00DF65CE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F318040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911D9C9" w14:textId="77777777" w:rsidR="002F5D26" w:rsidRPr="004C69AE" w:rsidRDefault="00C27E48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8C7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37.248,38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CDCD93F" w14:textId="77777777" w:rsidR="002F5D26" w:rsidRPr="004C69AE" w:rsidRDefault="008E76E7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410.467,00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F872EF0" w14:textId="77777777" w:rsidR="002F5D26" w:rsidRPr="004C69AE" w:rsidRDefault="008E76E7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338.416,80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02079FE" w14:textId="77777777" w:rsidR="002F5D26" w:rsidRPr="004C69AE" w:rsidRDefault="008E76E7" w:rsidP="004942CE">
            <w:pPr>
              <w:spacing w:after="0" w:line="240" w:lineRule="auto"/>
              <w:ind w:leftChars="-6" w:hangingChars="7" w:hanging="13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331.272,00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8F4BFB8" w14:textId="77777777" w:rsidR="002F5D26" w:rsidRPr="004C69AE" w:rsidRDefault="008D084C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D15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06BC364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97,89</w:t>
            </w:r>
          </w:p>
        </w:tc>
      </w:tr>
      <w:tr w:rsidR="00B96505" w:rsidRPr="002253AE" w14:paraId="1DA30411" w14:textId="77777777" w:rsidTr="00DF65CE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43FA5B" w14:textId="77777777" w:rsidR="002F5D26" w:rsidRPr="004C69AE" w:rsidRDefault="002757C3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 Rashodi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E86096" w14:textId="77777777" w:rsidR="002F5D26" w:rsidRPr="004C69AE" w:rsidRDefault="008C784D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204.417,59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CE00C8" w14:textId="77777777" w:rsidR="002F5D26" w:rsidRPr="004C69AE" w:rsidRDefault="008E76E7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279.296,00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00CB87" w14:textId="77777777" w:rsidR="002F5D26" w:rsidRPr="004C69AE" w:rsidRDefault="008E76E7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269.664,27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8CCFD6" w14:textId="77777777" w:rsidR="002F5D26" w:rsidRPr="004C69AE" w:rsidRDefault="008E76E7" w:rsidP="004942CE">
            <w:pPr>
              <w:spacing w:after="0" w:line="240" w:lineRule="auto"/>
              <w:ind w:leftChars="-6" w:hangingChars="7" w:hanging="13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263.867,75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0E1DC2" w14:textId="77777777" w:rsidR="002F5D26" w:rsidRPr="004C69AE" w:rsidRDefault="00873910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D15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986D3A" w14:textId="77777777" w:rsidR="002F5D26" w:rsidRPr="004C69AE" w:rsidRDefault="00607CBF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  <w:r w:rsidR="00F00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7,85</w:t>
            </w:r>
          </w:p>
        </w:tc>
      </w:tr>
      <w:tr w:rsidR="00B96505" w:rsidRPr="002253AE" w14:paraId="78B871E1" w14:textId="77777777" w:rsidTr="00DF65CE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DFCA48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5FF848" w14:textId="77777777" w:rsidR="002F5D26" w:rsidRPr="004C69AE" w:rsidRDefault="00C27E48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8C7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62.901,73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4D0F9" w14:textId="77777777" w:rsidR="002F5D26" w:rsidRPr="004C69AE" w:rsidRDefault="00D15ECB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225.925,00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1D319" w14:textId="77777777" w:rsidR="002F5D26" w:rsidRPr="004C69AE" w:rsidRDefault="008E76E7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212.432,93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5C3C79" w14:textId="77777777" w:rsidR="002F5D26" w:rsidRPr="004C69AE" w:rsidRDefault="008E76E7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212.229,04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8D85C" w14:textId="77777777" w:rsidR="002F5D26" w:rsidRPr="004C69AE" w:rsidRDefault="00873910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D15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E0F233" w14:textId="77777777" w:rsidR="002F5D26" w:rsidRPr="004C69AE" w:rsidRDefault="00607CBF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  <w:r w:rsidR="00F00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9,90</w:t>
            </w:r>
          </w:p>
        </w:tc>
      </w:tr>
      <w:tr w:rsidR="00B96505" w:rsidRPr="002253AE" w14:paraId="2DEC7806" w14:textId="77777777" w:rsidTr="001D02F5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5BF65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BC6CDF" w14:textId="77777777" w:rsidR="002F5D26" w:rsidRPr="004C69AE" w:rsidRDefault="008C784D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14.637,09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A95F0F" w14:textId="77777777" w:rsidR="002F5D26" w:rsidRPr="004C69AE" w:rsidRDefault="00D15ECB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16.093,00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01287F" w14:textId="77777777" w:rsidR="0078184A" w:rsidRDefault="001D02F5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23B09732" w14:textId="01CEFE5F" w:rsidR="002F5D26" w:rsidRPr="004C69AE" w:rsidRDefault="001D02F5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8E76E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A51D59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16.621,00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3C46A" w14:textId="77777777" w:rsidR="002F5D26" w:rsidRPr="004C69AE" w:rsidRDefault="00873910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D15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2CB41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74,94</w:t>
            </w:r>
          </w:p>
        </w:tc>
      </w:tr>
      <w:tr w:rsidR="00B96505" w:rsidRPr="002253AE" w14:paraId="50BA62F7" w14:textId="77777777" w:rsidTr="001D02F5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5437D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313 Doprinosi </w:t>
            </w:r>
            <w:r w:rsidR="00A72F3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 zdravstveno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BAECED" w14:textId="77777777" w:rsidR="002F5D26" w:rsidRPr="004C69AE" w:rsidRDefault="008C784D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26.878,77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2003C3" w14:textId="77777777" w:rsidR="002F5D26" w:rsidRDefault="00D15ECB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37.278,00</w:t>
            </w:r>
          </w:p>
          <w:p w14:paraId="363D0424" w14:textId="77777777" w:rsidR="00D15ECB" w:rsidRPr="004C69AE" w:rsidRDefault="00D15ECB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E97B6C" w14:textId="77777777" w:rsidR="00FC62D5" w:rsidRDefault="001D02F5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5DD4AAAC" w14:textId="62EF930E" w:rsidR="002F5D26" w:rsidRPr="004C69AE" w:rsidRDefault="001D02F5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8E76E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35.051,34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48145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35.017,71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0066A" w14:textId="77777777" w:rsidR="002F5D26" w:rsidRPr="004C69AE" w:rsidRDefault="008A73D9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D15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2DBE2" w14:textId="77777777" w:rsidR="002F5D26" w:rsidRPr="004C69AE" w:rsidRDefault="00607CBF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  <w:r w:rsidR="00F00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9,90</w:t>
            </w:r>
          </w:p>
        </w:tc>
      </w:tr>
      <w:tr w:rsidR="00B96505" w:rsidRPr="002253AE" w14:paraId="5CCF211D" w14:textId="77777777" w:rsidTr="00DF65CE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736CDC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23E033" w14:textId="6730A7F6" w:rsidR="002F5D26" w:rsidRPr="004C69AE" w:rsidRDefault="008C784D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32</w:t>
            </w:r>
            <w:r w:rsidR="00FC62D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5D1225" w14:textId="77777777" w:rsidR="002F5D26" w:rsidRPr="004C69AE" w:rsidRDefault="008E76E7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130.771,00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8DD49C" w14:textId="77777777" w:rsidR="002F5D26" w:rsidRPr="004C69AE" w:rsidRDefault="008E76E7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68.392,19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221CDF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67.044,11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A5353" w14:textId="77777777" w:rsidR="002F5D26" w:rsidRPr="004C69AE" w:rsidRDefault="00D15ECB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1B9FD3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98,03</w:t>
            </w:r>
          </w:p>
        </w:tc>
      </w:tr>
      <w:tr w:rsidR="00B96505" w:rsidRPr="002253AE" w14:paraId="1AEFD609" w14:textId="77777777" w:rsidTr="00DF65CE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364FF9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A6AF4A" w14:textId="77777777" w:rsidR="002F5D26" w:rsidRPr="004C69AE" w:rsidRDefault="00C27E48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6.55</w:t>
            </w:r>
            <w:r w:rsidR="008C7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F8DAF" w14:textId="77777777" w:rsidR="002F5D26" w:rsidRPr="004C69AE" w:rsidRDefault="00D15ECB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0B70AE" w14:textId="77777777" w:rsidR="002F5D26" w:rsidRPr="004C69AE" w:rsidRDefault="001D02F5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8E76E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8.299,24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EE91A9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7.873,84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6E10E" w14:textId="77777777" w:rsidR="002F5D26" w:rsidRPr="004C69AE" w:rsidRDefault="009A4D1E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D15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495B4" w14:textId="77777777" w:rsidR="002F5D26" w:rsidRPr="004C69AE" w:rsidRDefault="00607CBF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  <w:r w:rsidR="00F00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4,87</w:t>
            </w:r>
          </w:p>
        </w:tc>
      </w:tr>
      <w:tr w:rsidR="00B96505" w:rsidRPr="002253AE" w14:paraId="1916EAE5" w14:textId="77777777" w:rsidTr="00DF65CE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F2E138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B72C42" w14:textId="77777777" w:rsidR="002F5D26" w:rsidRPr="004C69AE" w:rsidRDefault="00C27E48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8C7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3.843,19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9D730" w14:textId="77777777" w:rsidR="002F5D26" w:rsidRPr="004C69AE" w:rsidRDefault="00D15ECB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3125E6" w14:textId="77777777" w:rsidR="002F5D26" w:rsidRPr="004C69AE" w:rsidRDefault="005A49FF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</w:t>
            </w:r>
            <w:r w:rsidR="008E76E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87E41C" w14:textId="77777777" w:rsidR="002F5D26" w:rsidRPr="004C69AE" w:rsidRDefault="008923A1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  <w:r w:rsidR="00F00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.875,66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46F42A" w14:textId="77777777" w:rsidR="002F5D26" w:rsidRPr="004C69AE" w:rsidRDefault="00032CF0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D15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11E1FA" w14:textId="77777777" w:rsidR="002F5D26" w:rsidRPr="004C69AE" w:rsidRDefault="00607CBF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89,</w:t>
            </w:r>
            <w:r w:rsidR="00F00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</w:t>
            </w:r>
          </w:p>
        </w:tc>
      </w:tr>
      <w:tr w:rsidR="00B96505" w:rsidRPr="002253AE" w14:paraId="37745163" w14:textId="77777777" w:rsidTr="00DF65CE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3E1A13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7B1E4D" w14:textId="77777777" w:rsidR="002F5D26" w:rsidRPr="004C69AE" w:rsidRDefault="008C784D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17.554,59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629D2" w14:textId="04F5E21E" w:rsidR="002F5D26" w:rsidRPr="004C69AE" w:rsidRDefault="00DE6D11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D15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110.610,00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BF1975" w14:textId="77777777" w:rsidR="002F5D26" w:rsidRPr="004C69AE" w:rsidRDefault="001D02F5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8E76E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8E76E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46.757,44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4071DF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46.405,47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5D6616" w14:textId="77777777" w:rsidR="002F5D26" w:rsidRPr="004C69AE" w:rsidRDefault="00D15ECB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220706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99,25</w:t>
            </w:r>
          </w:p>
        </w:tc>
      </w:tr>
      <w:tr w:rsidR="00B96505" w:rsidRPr="002253AE" w14:paraId="340F7763" w14:textId="77777777" w:rsidTr="00DF65CE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632580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A24D81" w14:textId="77777777" w:rsidR="002F5D26" w:rsidRPr="004C69AE" w:rsidRDefault="008C784D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4.463,34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43BEE" w14:textId="77777777" w:rsidR="002F5D26" w:rsidRPr="004C69AE" w:rsidRDefault="00D15ECB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6.461,00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C1325" w14:textId="77777777" w:rsidR="002F5D26" w:rsidRPr="004C69AE" w:rsidRDefault="008E76E7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774BAE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8.889,14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9F38DC" w14:textId="77777777" w:rsidR="002F5D26" w:rsidRPr="004C69AE" w:rsidRDefault="009B66A6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D15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54A49" w14:textId="77777777" w:rsidR="002F5D26" w:rsidRPr="004C69AE" w:rsidRDefault="004E7569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  <w:r w:rsidR="00F00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8,72</w:t>
            </w:r>
          </w:p>
        </w:tc>
      </w:tr>
      <w:tr w:rsidR="00B96505" w:rsidRPr="002253AE" w14:paraId="1B079143" w14:textId="77777777" w:rsidTr="00DF65CE">
        <w:trPr>
          <w:trHeight w:val="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3D287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905C69" w14:textId="77777777" w:rsidR="002F5D26" w:rsidRPr="004C69AE" w:rsidRDefault="008C784D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413,32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35FA0A" w14:textId="77777777" w:rsidR="002F5D26" w:rsidRPr="004C69AE" w:rsidRDefault="00D15ECB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9F084D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="009B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C63FED" w14:textId="77777777" w:rsidR="002F5D26" w:rsidRPr="004C69AE" w:rsidRDefault="008E76E7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8F4F53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E2F01A" w14:textId="77777777" w:rsidR="002F5D26" w:rsidRPr="004C69AE" w:rsidRDefault="00D15ECB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220431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  <w:r w:rsidR="00E62F29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</w:t>
            </w:r>
          </w:p>
        </w:tc>
      </w:tr>
      <w:tr w:rsidR="00B96505" w:rsidRPr="002253AE" w14:paraId="70EC278E" w14:textId="77777777" w:rsidTr="00DF65CE">
        <w:trPr>
          <w:trHeight w:val="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5C796E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343 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B2C61" w14:textId="77777777" w:rsidR="002F5D26" w:rsidRPr="004C69AE" w:rsidRDefault="008C784D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D260A8" w14:textId="77777777" w:rsidR="002F5D26" w:rsidRPr="004C69AE" w:rsidRDefault="009B66A6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</w:t>
            </w:r>
            <w:r w:rsidR="009F084D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2B139" w14:textId="77777777" w:rsidR="002F5D26" w:rsidRPr="004C69AE" w:rsidRDefault="008E76E7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E5A748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4F4B3F" w14:textId="77777777" w:rsidR="002F5D26" w:rsidRPr="004C69AE" w:rsidRDefault="00D15ECB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06A4C6" w14:textId="77777777" w:rsidR="002F5D26" w:rsidRPr="004C69AE" w:rsidRDefault="00E62F29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</w:t>
            </w:r>
            <w:r w:rsidR="004E756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  <w:r w:rsidR="00F00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96505" w:rsidRPr="002253AE" w14:paraId="752354CC" w14:textId="77777777" w:rsidTr="00DF65CE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EB65472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3D25595" w14:textId="77777777" w:rsidR="002F5D26" w:rsidRPr="004C69AE" w:rsidRDefault="008923A1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  <w:r w:rsidR="008C7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0.488,68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72A097F" w14:textId="77777777" w:rsidR="002F5D26" w:rsidRPr="004C69AE" w:rsidRDefault="008E76E7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2BB3B36" w14:textId="77777777" w:rsidR="002F5D26" w:rsidRPr="004C69AE" w:rsidRDefault="008E76E7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4.623,74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3DB3393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4,478,74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B5667A4" w14:textId="77777777" w:rsidR="002F5D26" w:rsidRPr="004C69AE" w:rsidRDefault="00D15ECB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CD2FC3B" w14:textId="77777777" w:rsidR="002F5D26" w:rsidRPr="004C69AE" w:rsidRDefault="004E7569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  <w:r w:rsidR="00F00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6,86</w:t>
            </w:r>
          </w:p>
        </w:tc>
      </w:tr>
      <w:tr w:rsidR="00B96505" w:rsidRPr="002253AE" w14:paraId="445686EA" w14:textId="77777777" w:rsidTr="00DC1BD2">
        <w:trPr>
          <w:trHeight w:val="5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790F91" w14:textId="77777777" w:rsidR="00F9060E" w:rsidRPr="004C69AE" w:rsidRDefault="00F9060E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 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571873" w14:textId="77777777" w:rsidR="00F9060E" w:rsidRDefault="008C784D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1.206,44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51C765" w14:textId="77777777" w:rsidR="00F9060E" w:rsidRDefault="00F9060E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5B62CE" w14:textId="77777777" w:rsidR="00F9060E" w:rsidRDefault="00F9060E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EA4F00" w14:textId="77777777" w:rsidR="00F9060E" w:rsidRDefault="00F9060E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E5AEDC" w14:textId="77777777" w:rsidR="00F9060E" w:rsidRDefault="004E7569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1EB24" w14:textId="77777777" w:rsidR="00F9060E" w:rsidRDefault="00F9060E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96505" w:rsidRPr="002253AE" w14:paraId="2213891A" w14:textId="77777777" w:rsidTr="00DC1BD2">
        <w:trPr>
          <w:trHeight w:val="519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8299BF" w14:textId="77777777" w:rsidR="002F5D26" w:rsidRPr="004C69AE" w:rsidRDefault="008D084C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 Rashodi za nabavu proizvedene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510CF4" w14:textId="77777777" w:rsidR="002F5D26" w:rsidRPr="004C69AE" w:rsidRDefault="008C784D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29.282,24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6ABAF2" w14:textId="77777777" w:rsidR="002F5D26" w:rsidRPr="004C69AE" w:rsidRDefault="008E76E7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7.000,00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928246" w14:textId="77777777" w:rsidR="002F5D26" w:rsidRPr="004C69AE" w:rsidRDefault="008E76E7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4.623,74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C7F49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4.478,74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CBF4C6" w14:textId="77777777" w:rsidR="002F5D26" w:rsidRPr="004C69AE" w:rsidRDefault="00EB792E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7A4771" w14:textId="77777777" w:rsidR="002F5D26" w:rsidRPr="004C69AE" w:rsidRDefault="004E7569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  <w:r w:rsidR="00F00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6,86</w:t>
            </w:r>
          </w:p>
        </w:tc>
      </w:tr>
      <w:tr w:rsidR="00B96505" w:rsidRPr="002253AE" w14:paraId="3328C3CD" w14:textId="77777777" w:rsidTr="00DC1BD2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7F761F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  <w:r w:rsidR="008D084C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8D084C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E36EA2" w14:textId="77777777" w:rsidR="002F5D26" w:rsidRPr="004C69AE" w:rsidRDefault="008C784D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4.402,16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1821DC" w14:textId="77777777" w:rsidR="002F5D26" w:rsidRPr="004C69AE" w:rsidRDefault="008E76E7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7A2B3" w14:textId="77777777" w:rsidR="002F5D26" w:rsidRPr="004C69AE" w:rsidRDefault="00F9060E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</w:t>
            </w:r>
            <w:r w:rsidR="008E76E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623,74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9AC8D" w14:textId="77777777" w:rsidR="002F5D26" w:rsidRPr="004C69AE" w:rsidRDefault="00F00268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4.478,74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DA345" w14:textId="77777777" w:rsidR="002F5D26" w:rsidRPr="004C69AE" w:rsidRDefault="004E7569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EB792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01,74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5D6641" w14:textId="77777777" w:rsidR="002F5D26" w:rsidRPr="004C69AE" w:rsidRDefault="004E7569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  <w:r w:rsidR="00F00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6,86</w:t>
            </w:r>
          </w:p>
        </w:tc>
      </w:tr>
      <w:tr w:rsidR="00B96505" w:rsidRPr="002253AE" w14:paraId="02803E81" w14:textId="77777777" w:rsidTr="00DC1BD2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C5070" w14:textId="77777777" w:rsidR="002757C3" w:rsidRPr="004C69AE" w:rsidRDefault="002757C3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423 Prijevozna sredstva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D69EAC" w14:textId="77777777" w:rsidR="002757C3" w:rsidRDefault="008C784D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24.880,08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1F8FD" w14:textId="77777777" w:rsidR="002757C3" w:rsidRDefault="002757C3" w:rsidP="0049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09C6D9" w14:textId="77777777" w:rsidR="002757C3" w:rsidRDefault="002757C3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1E2A82" w14:textId="77777777" w:rsidR="002757C3" w:rsidRDefault="002757C3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516F21" w14:textId="77777777" w:rsidR="002757C3" w:rsidRPr="004C69AE" w:rsidRDefault="002757C3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11DC8" w14:textId="77777777" w:rsidR="002757C3" w:rsidRPr="004C69AE" w:rsidRDefault="002757C3" w:rsidP="004942C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0CEA7ADC" w14:textId="77777777" w:rsidR="007B38D7" w:rsidRPr="002253AE" w:rsidRDefault="007B38D7" w:rsidP="007B38D7">
      <w:pPr>
        <w:rPr>
          <w:rFonts w:ascii="Arial" w:hAnsi="Arial" w:cs="Arial"/>
          <w:kern w:val="2"/>
          <w:sz w:val="18"/>
          <w:szCs w:val="18"/>
        </w:rPr>
      </w:pPr>
    </w:p>
    <w:p w14:paraId="1A7812E8" w14:textId="77777777" w:rsidR="00222FAD" w:rsidRDefault="00877FC0" w:rsidP="004C69AE">
      <w:pPr>
        <w:spacing w:after="0"/>
        <w:rPr>
          <w:rFonts w:cstheme="minorHAnsi"/>
          <w:b/>
        </w:rPr>
      </w:pPr>
      <w:r w:rsidRPr="004C69AE">
        <w:rPr>
          <w:rFonts w:ascii="Arial" w:hAnsi="Arial" w:cs="Arial"/>
          <w:b/>
          <w:sz w:val="18"/>
          <w:szCs w:val="18"/>
        </w:rPr>
        <w:t>Tablica 2. Prihodi i rashodi</w:t>
      </w:r>
      <w:r w:rsidRPr="00FE7E38">
        <w:rPr>
          <w:rFonts w:cstheme="minorHAnsi"/>
          <w:b/>
        </w:rPr>
        <w:t xml:space="preserve"> prema izvorima financiranja </w:t>
      </w: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1587"/>
        <w:gridCol w:w="1540"/>
        <w:gridCol w:w="1329"/>
        <w:gridCol w:w="1357"/>
        <w:gridCol w:w="1540"/>
        <w:gridCol w:w="978"/>
        <w:gridCol w:w="967"/>
      </w:tblGrid>
      <w:tr w:rsidR="004D75E8" w:rsidRPr="002F5D26" w14:paraId="71083F1A" w14:textId="77777777" w:rsidTr="00256BF4">
        <w:trPr>
          <w:trHeight w:val="380"/>
        </w:trPr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A159B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BA2E7" w14:textId="77777777" w:rsidR="002F5D26" w:rsidRPr="00906B43" w:rsidRDefault="00E62F29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</w:t>
            </w:r>
            <w:r w:rsidR="004D75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zvršenje          I-XII </w:t>
            </w:r>
            <w:r w:rsidR="00EB79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2024</w:t>
            </w:r>
            <w:r w:rsidR="002F5D26"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553F8" w14:textId="77777777" w:rsidR="002F5D26" w:rsidRPr="00906B43" w:rsidRDefault="00EB792E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Izvorni plan 2025</w:t>
            </w:r>
            <w:r w:rsidR="002F5D26"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31D60" w14:textId="77777777" w:rsidR="002F5D26" w:rsidRPr="00906B43" w:rsidRDefault="00EB792E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2025</w:t>
            </w:r>
            <w:r w:rsidR="002F5D26"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A9BE8" w14:textId="77777777" w:rsidR="002F5D26" w:rsidRPr="00906B43" w:rsidRDefault="00E62F29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      </w:t>
            </w:r>
            <w:r w:rsidR="004D75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I-XII</w:t>
            </w:r>
            <w:r w:rsidR="00EB79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2025</w:t>
            </w:r>
            <w:r w:rsidR="002F5D26"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BD750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01591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</w:tr>
      <w:tr w:rsidR="004D75E8" w:rsidRPr="002F5D26" w14:paraId="7CD71FA3" w14:textId="77777777" w:rsidTr="00256BF4">
        <w:trPr>
          <w:trHeight w:val="1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9CA25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CD777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2CAE5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E84CA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90BCE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6B02F" w14:textId="77777777" w:rsidR="002F5D26" w:rsidRPr="002757C3" w:rsidRDefault="00256BF4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1C673" w14:textId="77777777" w:rsidR="002F5D26" w:rsidRPr="00256BF4" w:rsidRDefault="00256BF4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4D75E8" w:rsidRPr="002F5D26" w14:paraId="6885121E" w14:textId="77777777" w:rsidTr="004942CE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3E5A5B3" w14:textId="77777777" w:rsidR="002F5D26" w:rsidRPr="00906B43" w:rsidRDefault="00253B09" w:rsidP="00253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C12BD08" w14:textId="77777777" w:rsidR="002F5D26" w:rsidRPr="00906B43" w:rsidRDefault="00EB792E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312.298,49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5EAE985" w14:textId="77777777" w:rsidR="002F5D26" w:rsidRPr="00906B43" w:rsidRDefault="00EB792E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417.467,00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500D78D8" w14:textId="77777777" w:rsidR="002F5D26" w:rsidRPr="00906B43" w:rsidRDefault="00EB792E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326.928,28</w:t>
            </w:r>
            <w:r w:rsidR="002F5D26" w:rsidRPr="00906B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FE1D51B" w14:textId="77777777" w:rsidR="002F5D26" w:rsidRPr="00906B43" w:rsidRDefault="00EB792E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303.799,76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05B93019" w14:textId="77777777" w:rsidR="002F5D26" w:rsidRPr="00906B43" w:rsidRDefault="00010E96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97,28</w:t>
            </w:r>
            <w:r w:rsidR="002F5D26" w:rsidRPr="00906B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C76E6E8" w14:textId="77777777" w:rsidR="002F5D26" w:rsidRPr="00906B43" w:rsidRDefault="00F866D7" w:rsidP="00F866D7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9</w:t>
            </w:r>
            <w:r w:rsidR="0051787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2,93</w:t>
            </w:r>
          </w:p>
        </w:tc>
      </w:tr>
      <w:tr w:rsidR="004D75E8" w:rsidRPr="002F5D26" w14:paraId="18E13014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4FFCF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68C27" w14:textId="77777777" w:rsidR="002F5D26" w:rsidRPr="00906B43" w:rsidRDefault="00E62F29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4D75E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EB792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31.134,43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5B99D9" w14:textId="77777777" w:rsidR="002F5D26" w:rsidRPr="00906B43" w:rsidRDefault="00EB792E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327.467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29DFF8" w14:textId="77777777" w:rsidR="002F5D26" w:rsidRPr="00906B43" w:rsidRDefault="00EB792E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266.102,67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81E12C" w14:textId="77777777" w:rsidR="002F5D26" w:rsidRPr="00906B43" w:rsidRDefault="004D75E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EB792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42.974,15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811AD" w14:textId="77777777" w:rsidR="002F5D26" w:rsidRPr="00906B43" w:rsidRDefault="00517830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F866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51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AF8A2" w14:textId="77777777" w:rsidR="002F5D26" w:rsidRPr="00906B43" w:rsidRDefault="00517830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F866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  <w:r w:rsidR="0051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1,31</w:t>
            </w:r>
          </w:p>
        </w:tc>
      </w:tr>
      <w:tr w:rsidR="004D75E8" w:rsidRPr="002F5D26" w14:paraId="4E5288FD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E1ED9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31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F22B6B" w14:textId="77777777" w:rsidR="002F5D26" w:rsidRPr="00906B43" w:rsidRDefault="00253B09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</w:t>
            </w:r>
            <w:r w:rsidR="00EB792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20.865,49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7897BD" w14:textId="77777777" w:rsidR="002F5D26" w:rsidRPr="00906B43" w:rsidRDefault="00EB792E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620EC5" w14:textId="77777777" w:rsidR="002F5D26" w:rsidRPr="00906B43" w:rsidRDefault="00EB792E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38.774,07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DD5EA1" w14:textId="77777777" w:rsidR="002F5D26" w:rsidRPr="00906B43" w:rsidRDefault="00517830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</w:t>
            </w:r>
            <w:r w:rsidR="00EB792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38.774,07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840FC5" w14:textId="77777777" w:rsidR="002F5D26" w:rsidRPr="00906B43" w:rsidRDefault="00517830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1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5DC4C4" w14:textId="77777777" w:rsidR="002F5D26" w:rsidRPr="00906B43" w:rsidRDefault="00517830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1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D75E8" w:rsidRPr="002F5D26" w14:paraId="02FD9A95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E406E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52 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DA92BA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EB792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60.298,57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3BD072" w14:textId="77777777" w:rsidR="002F5D26" w:rsidRPr="00906B43" w:rsidRDefault="00EB792E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B88E64" w14:textId="77777777" w:rsidR="002F5D26" w:rsidRPr="00906B43" w:rsidRDefault="00EB792E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22.051,54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3B583C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EB792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22.051,54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B4E1B1" w14:textId="77777777" w:rsidR="002F5D26" w:rsidRPr="00906B43" w:rsidRDefault="002F5D26" w:rsidP="004D75E8">
            <w:pPr>
              <w:spacing w:after="0" w:line="240" w:lineRule="auto"/>
              <w:ind w:firstLineChars="8" w:firstLine="14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51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4332B8" w14:textId="77777777" w:rsidR="002F5D26" w:rsidRPr="00906B43" w:rsidRDefault="00EB792E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D75E8" w:rsidRPr="002F5D26" w14:paraId="20021A40" w14:textId="77777777" w:rsidTr="004942CE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56200285" w14:textId="77777777" w:rsidR="002F5D26" w:rsidRPr="00906B43" w:rsidRDefault="00253B09" w:rsidP="00253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250D9198" w14:textId="77777777" w:rsidR="002F5D26" w:rsidRPr="00906B43" w:rsidRDefault="000168F4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</w:t>
            </w:r>
            <w:r w:rsidR="0051787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67.737,06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14974691" w14:textId="77777777" w:rsidR="002F5D26" w:rsidRPr="00906B43" w:rsidRDefault="00517879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417.467,00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14:paraId="0A7AF40F" w14:textId="77777777" w:rsidR="002F5D26" w:rsidRPr="00906B43" w:rsidRDefault="00517879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343.040,54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29F18C96" w14:textId="77777777" w:rsidR="002F5D26" w:rsidRPr="00906B43" w:rsidRDefault="00BE3932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 </w:t>
            </w:r>
            <w:r w:rsidR="005731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335.750,94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32AB259E" w14:textId="77777777" w:rsidR="002F5D26" w:rsidRPr="00906B43" w:rsidRDefault="00517830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</w:t>
            </w:r>
            <w:r w:rsidR="0007027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</w:t>
            </w:r>
            <w:r w:rsidR="005731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6ACEF10B" w14:textId="77777777" w:rsidR="002F5D26" w:rsidRPr="00906B43" w:rsidRDefault="00BE3932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  <w:t xml:space="preserve"> </w:t>
            </w:r>
            <w:r w:rsidR="0057315D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  <w:t>97,88</w:t>
            </w:r>
          </w:p>
        </w:tc>
      </w:tr>
      <w:tr w:rsidR="004D75E8" w:rsidRPr="002F5D26" w14:paraId="49A36EAB" w14:textId="77777777" w:rsidTr="00DC1BD2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5C86B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D66911" w14:textId="77777777" w:rsidR="002F5D26" w:rsidRPr="00906B43" w:rsidRDefault="000168F4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51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31.107,07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8993DB" w14:textId="77777777" w:rsidR="002F5D26" w:rsidRPr="00906B43" w:rsidRDefault="00517879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327.467,00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FA1ADD" w14:textId="77777777" w:rsidR="002F5D26" w:rsidRPr="00906B43" w:rsidRDefault="0077312A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51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66.102,67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5761D" w14:textId="77777777" w:rsidR="002F5D26" w:rsidRPr="00906B43" w:rsidRDefault="00BE3932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016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57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65.613,12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10A9B" w14:textId="77777777" w:rsidR="002F5D26" w:rsidRPr="00906B43" w:rsidRDefault="0007027F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</w:t>
            </w:r>
            <w:r w:rsidR="0057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30AE81" w14:textId="77777777" w:rsidR="002F5D26" w:rsidRPr="00906B43" w:rsidRDefault="0057315D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99,82</w:t>
            </w:r>
          </w:p>
        </w:tc>
      </w:tr>
      <w:tr w:rsidR="004D75E8" w:rsidRPr="002F5D26" w14:paraId="119C5CBE" w14:textId="77777777" w:rsidTr="00DC1BD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96DDD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31 Vlastiti prihodi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5885A9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</w:t>
            </w:r>
            <w:r w:rsidR="0051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25.712,32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0C7E16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</w:t>
            </w:r>
            <w:r w:rsidR="0051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4DD5BA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51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38.774,07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0D2234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</w:t>
            </w:r>
            <w:r w:rsidR="0057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32.119,02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E5F25E" w14:textId="77777777" w:rsidR="002F5D26" w:rsidRPr="00906B43" w:rsidRDefault="0057315D" w:rsidP="00363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124,92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FD2F1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57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82,84</w:t>
            </w:r>
          </w:p>
        </w:tc>
      </w:tr>
      <w:tr w:rsidR="004D75E8" w:rsidRPr="002F5D26" w14:paraId="73579FD6" w14:textId="77777777" w:rsidTr="00DC1BD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E9BCC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52 Ostale pomoći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CBB27A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517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10.917,67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8AFC91" w14:textId="77777777" w:rsidR="002F5D26" w:rsidRPr="00906B43" w:rsidRDefault="00517879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107FF1A" w14:textId="77777777" w:rsidR="002F5D26" w:rsidRPr="00906B43" w:rsidRDefault="0077312A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7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38.163,80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D2334D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BE3932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7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38.018,80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070D47" w14:textId="77777777" w:rsidR="002F5D26" w:rsidRPr="00906B43" w:rsidRDefault="0057315D" w:rsidP="00573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2F5D26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348,22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9543D2" w14:textId="77777777" w:rsidR="002F5D26" w:rsidRPr="00906B43" w:rsidRDefault="0057315D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99,62</w:t>
            </w:r>
          </w:p>
        </w:tc>
      </w:tr>
    </w:tbl>
    <w:p w14:paraId="039BB8B3" w14:textId="77777777" w:rsidR="00C15DD0" w:rsidRPr="002F5D26" w:rsidRDefault="00C15DD0" w:rsidP="001013F0">
      <w:pPr>
        <w:rPr>
          <w:rFonts w:cstheme="minorHAnsi"/>
          <w:b/>
          <w:sz w:val="24"/>
        </w:rPr>
      </w:pPr>
    </w:p>
    <w:p w14:paraId="08096A7F" w14:textId="77777777" w:rsidR="000F17AC" w:rsidRPr="00906B43" w:rsidRDefault="00877FC0" w:rsidP="00906B43">
      <w:pPr>
        <w:spacing w:after="0"/>
        <w:rPr>
          <w:rFonts w:ascii="Arial" w:hAnsi="Arial" w:cs="Arial"/>
          <w:b/>
          <w:sz w:val="18"/>
          <w:szCs w:val="18"/>
        </w:rPr>
      </w:pPr>
      <w:r w:rsidRPr="00906B43">
        <w:rPr>
          <w:rFonts w:ascii="Arial" w:hAnsi="Arial" w:cs="Arial"/>
          <w:b/>
          <w:sz w:val="18"/>
          <w:szCs w:val="18"/>
        </w:rPr>
        <w:t>Tablica 3. Rashodi prema funkcijskoj klasifikaciji</w:t>
      </w:r>
    </w:p>
    <w:tbl>
      <w:tblPr>
        <w:tblW w:w="9360" w:type="dxa"/>
        <w:tblInd w:w="-10" w:type="dxa"/>
        <w:tblLook w:val="04A0" w:firstRow="1" w:lastRow="0" w:firstColumn="1" w:lastColumn="0" w:noHBand="0" w:noVBand="1"/>
      </w:tblPr>
      <w:tblGrid>
        <w:gridCol w:w="2918"/>
        <w:gridCol w:w="1041"/>
        <w:gridCol w:w="1125"/>
        <w:gridCol w:w="1125"/>
        <w:gridCol w:w="1125"/>
        <w:gridCol w:w="1013"/>
        <w:gridCol w:w="1013"/>
      </w:tblGrid>
      <w:tr w:rsidR="00A704B1" w:rsidRPr="004942CE" w14:paraId="547F1C5C" w14:textId="77777777" w:rsidTr="001F393D">
        <w:trPr>
          <w:trHeight w:val="520"/>
        </w:trPr>
        <w:tc>
          <w:tcPr>
            <w:tcW w:w="30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737D7" w14:textId="77777777" w:rsidR="00A704B1" w:rsidRPr="004942CE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62BAB" w14:textId="77777777" w:rsidR="00A704B1" w:rsidRPr="004942CE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         </w:t>
            </w:r>
            <w:r w:rsidR="0007027F"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I-XII</w:t>
            </w:r>
            <w:r w:rsidR="00320BCA"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2024</w:t>
            </w:r>
            <w:r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5FCA3" w14:textId="77777777" w:rsidR="00A704B1" w:rsidRPr="004942CE" w:rsidRDefault="00320BCA" w:rsidP="00A70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Izvorni plan 2025</w:t>
            </w:r>
            <w:r w:rsidR="00A704B1"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9D7ED" w14:textId="77777777" w:rsidR="00A704B1" w:rsidRPr="004942CE" w:rsidRDefault="00320BCA" w:rsidP="00A70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Tekući plan 2025</w:t>
            </w:r>
            <w:r w:rsidR="00A704B1"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D805A" w14:textId="77777777" w:rsidR="00A704B1" w:rsidRPr="004942CE" w:rsidRDefault="005F6A7D" w:rsidP="00A70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</w:t>
            </w:r>
            <w:r w:rsidR="0007027F"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vršenje          I-XII </w:t>
            </w:r>
            <w:r w:rsidR="00320BCA"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2025</w:t>
            </w:r>
            <w:r w:rsidR="00A704B1"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1F40E" w14:textId="77777777" w:rsidR="00A704B1" w:rsidRPr="004942CE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CA47C" w14:textId="77777777" w:rsidR="00A704B1" w:rsidRPr="004942CE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</w:tr>
      <w:tr w:rsidR="00A704B1" w:rsidRPr="004942CE" w14:paraId="6757D4BD" w14:textId="77777777" w:rsidTr="001F393D">
        <w:trPr>
          <w:trHeight w:val="5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FE43E" w14:textId="77777777" w:rsidR="00A704B1" w:rsidRPr="004942CE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3EACC" w14:textId="77777777" w:rsidR="00A704B1" w:rsidRPr="004942CE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390DE" w14:textId="77777777" w:rsidR="00A704B1" w:rsidRPr="004942CE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958C3" w14:textId="77777777" w:rsidR="00A704B1" w:rsidRPr="004942CE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EE897" w14:textId="77777777" w:rsidR="00A704B1" w:rsidRPr="004942CE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DA1BA" w14:textId="77777777" w:rsidR="00A704B1" w:rsidRPr="004942CE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6=5/2*100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2313C" w14:textId="77777777" w:rsidR="00A704B1" w:rsidRPr="004942CE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7=5/4*100</w:t>
            </w:r>
          </w:p>
        </w:tc>
      </w:tr>
      <w:tr w:rsidR="00A704B1" w:rsidRPr="004942CE" w14:paraId="3CC5CE11" w14:textId="77777777" w:rsidTr="001F393D">
        <w:trPr>
          <w:trHeight w:val="295"/>
        </w:trPr>
        <w:tc>
          <w:tcPr>
            <w:tcW w:w="3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93FF0" w14:textId="77777777" w:rsidR="00A704B1" w:rsidRPr="004942CE" w:rsidRDefault="00A704B1" w:rsidP="001F39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Funk. klas: 04 Ekonomski poslovi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69588" w14:textId="77777777" w:rsidR="00A704B1" w:rsidRPr="004942CE" w:rsidRDefault="00320BCA" w:rsidP="003649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267.737,06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356D9" w14:textId="77777777" w:rsidR="00A704B1" w:rsidRPr="004942CE" w:rsidRDefault="00320BCA" w:rsidP="001F39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417.467,00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7B7E0" w14:textId="77777777" w:rsidR="00A704B1" w:rsidRPr="004942CE" w:rsidRDefault="005F6A7D" w:rsidP="000006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="00320BCA"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43.040,54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5B536" w14:textId="77777777" w:rsidR="00A704B1" w:rsidRPr="004942CE" w:rsidRDefault="005F6A7D" w:rsidP="00A576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320BCA"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335.750,94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5B23B" w14:textId="77777777" w:rsidR="00A704B1" w:rsidRPr="004942CE" w:rsidRDefault="00A704B1" w:rsidP="001F393D">
            <w:pPr>
              <w:spacing w:after="0" w:line="240" w:lineRule="auto"/>
              <w:ind w:firstLineChars="100" w:firstLine="18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8931B0"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320BCA" w:rsidRPr="004942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5,40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36491" w14:textId="77777777" w:rsidR="00A704B1" w:rsidRPr="004942CE" w:rsidRDefault="00320BCA" w:rsidP="001F393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97.88</w:t>
            </w:r>
          </w:p>
        </w:tc>
      </w:tr>
      <w:tr w:rsidR="00A704B1" w:rsidRPr="004942CE" w14:paraId="515B8B1A" w14:textId="77777777" w:rsidTr="001F393D">
        <w:trPr>
          <w:trHeight w:val="313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F2F48" w14:textId="77777777" w:rsidR="00A704B1" w:rsidRPr="004942CE" w:rsidRDefault="00A704B1" w:rsidP="001F393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044 Rudarstvo, proizvodnja i građevinarstvo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58D1D" w14:textId="532E47CC" w:rsidR="00A704B1" w:rsidRPr="004942CE" w:rsidRDefault="00320BCA" w:rsidP="003649C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267</w:t>
            </w:r>
            <w:r w:rsidR="00000638"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.</w:t>
            </w: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737,06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34E99" w14:textId="77777777" w:rsidR="00A704B1" w:rsidRPr="004942CE" w:rsidRDefault="00320BCA" w:rsidP="001F393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417.467,00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B4535" w14:textId="77777777" w:rsidR="00A704B1" w:rsidRPr="004942CE" w:rsidRDefault="005F6A7D" w:rsidP="0000063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</w:t>
            </w:r>
            <w:r w:rsidR="00320BCA"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43.040,54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AE563" w14:textId="77777777" w:rsidR="00A704B1" w:rsidRPr="004942CE" w:rsidRDefault="005F6A7D" w:rsidP="00A5762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320BCA"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335.750,94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EC66E" w14:textId="77777777" w:rsidR="00A704B1" w:rsidRPr="004942CE" w:rsidRDefault="00A704B1" w:rsidP="001F393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  <w:r w:rsidR="008931B0"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</w:t>
            </w:r>
            <w:r w:rsidR="00320BCA"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5,40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F3E08" w14:textId="77777777" w:rsidR="00A704B1" w:rsidRPr="004942CE" w:rsidRDefault="00320BCA" w:rsidP="001F393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942CE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97.88</w:t>
            </w:r>
          </w:p>
        </w:tc>
      </w:tr>
    </w:tbl>
    <w:p w14:paraId="3FF44840" w14:textId="77777777" w:rsidR="00DA63E6" w:rsidRPr="004942CE" w:rsidRDefault="00DA63E6">
      <w:pPr>
        <w:rPr>
          <w:rFonts w:cstheme="minorHAnsi"/>
          <w:sz w:val="18"/>
          <w:szCs w:val="18"/>
        </w:rPr>
      </w:pPr>
    </w:p>
    <w:p w14:paraId="5D498914" w14:textId="77777777" w:rsidR="00000638" w:rsidRDefault="00000638" w:rsidP="00B94466">
      <w:pPr>
        <w:rPr>
          <w:rFonts w:ascii="Arial" w:hAnsi="Arial" w:cs="Arial"/>
        </w:rPr>
      </w:pPr>
    </w:p>
    <w:p w14:paraId="0EA15CA7" w14:textId="31852E2F" w:rsidR="00C40808" w:rsidRDefault="00C40808" w:rsidP="00B94466">
      <w:pPr>
        <w:rPr>
          <w:rFonts w:ascii="Arial" w:hAnsi="Arial" w:cs="Arial"/>
        </w:rPr>
      </w:pPr>
      <w:r>
        <w:rPr>
          <w:rFonts w:ascii="Arial" w:hAnsi="Arial" w:cs="Arial"/>
        </w:rPr>
        <w:t>Izvještaj izradila:</w:t>
      </w:r>
    </w:p>
    <w:p w14:paraId="5F6C25FE" w14:textId="0935C4BF" w:rsidR="00C40808" w:rsidRDefault="00C40808" w:rsidP="00B94466">
      <w:pPr>
        <w:rPr>
          <w:rFonts w:ascii="Arial" w:hAnsi="Arial" w:cs="Arial"/>
        </w:rPr>
      </w:pPr>
      <w:r>
        <w:rPr>
          <w:rFonts w:ascii="Arial" w:hAnsi="Arial" w:cs="Arial"/>
        </w:rPr>
        <w:t>RAVNATELJICA ZAVODA</w:t>
      </w:r>
    </w:p>
    <w:p w14:paraId="52FA6B5F" w14:textId="77777777" w:rsidR="00C40808" w:rsidRDefault="00C40808" w:rsidP="00B944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Mirjana Pintar, </w:t>
      </w:r>
      <w:proofErr w:type="spellStart"/>
      <w:r>
        <w:rPr>
          <w:rFonts w:ascii="Arial" w:hAnsi="Arial" w:cs="Arial"/>
        </w:rPr>
        <w:t>dipl.ing.arh</w:t>
      </w:r>
      <w:proofErr w:type="spellEnd"/>
      <w:r>
        <w:rPr>
          <w:rFonts w:ascii="Arial" w:hAnsi="Arial" w:cs="Arial"/>
        </w:rPr>
        <w:t>.</w:t>
      </w:r>
    </w:p>
    <w:p w14:paraId="6BF5FD24" w14:textId="77777777" w:rsidR="00C40808" w:rsidRPr="00C40808" w:rsidRDefault="00C40808" w:rsidP="00B94466">
      <w:pPr>
        <w:rPr>
          <w:rFonts w:ascii="Arial" w:hAnsi="Arial" w:cs="Arial"/>
        </w:rPr>
      </w:pPr>
    </w:p>
    <w:p w14:paraId="4CD6A751" w14:textId="77777777" w:rsidR="00B94466" w:rsidRPr="00906B43" w:rsidRDefault="00906B43" w:rsidP="00906B43">
      <w:pPr>
        <w:jc w:val="right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                                PREDSJEDNICA UPRAVNOG VIJEĆA</w:t>
      </w:r>
    </w:p>
    <w:p w14:paraId="61DDAB2F" w14:textId="77777777" w:rsidR="00F0177C" w:rsidRPr="00906B43" w:rsidRDefault="00B94466" w:rsidP="00FE2AF5">
      <w:pPr>
        <w:spacing w:after="0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                           </w:t>
      </w:r>
      <w:r w:rsidR="00FE2AF5">
        <w:rPr>
          <w:rFonts w:ascii="Arial" w:hAnsi="Arial" w:cs="Arial"/>
        </w:rPr>
        <w:t xml:space="preserve">                                                                               </w:t>
      </w:r>
      <w:r w:rsidRPr="00906B43">
        <w:rPr>
          <w:rFonts w:ascii="Arial" w:hAnsi="Arial" w:cs="Arial"/>
        </w:rPr>
        <w:t xml:space="preserve">Tatjana </w:t>
      </w:r>
      <w:proofErr w:type="spellStart"/>
      <w:r w:rsidRPr="00906B43">
        <w:rPr>
          <w:rFonts w:ascii="Arial" w:hAnsi="Arial" w:cs="Arial"/>
        </w:rPr>
        <w:t>Vadas,dipl.ing.arh</w:t>
      </w:r>
      <w:proofErr w:type="spellEnd"/>
      <w:r w:rsidR="00DE081B">
        <w:rPr>
          <w:rFonts w:cstheme="minorHAnsi"/>
        </w:rPr>
        <w:br w:type="page"/>
      </w:r>
      <w:r w:rsidR="00F0177C" w:rsidRPr="00906B43">
        <w:rPr>
          <w:rFonts w:ascii="Arial" w:hAnsi="Arial" w:cs="Arial"/>
          <w:b/>
          <w:bCs/>
        </w:rPr>
        <w:lastRenderedPageBreak/>
        <w:t>OBRAZLOŽENJE</w:t>
      </w:r>
      <w:r w:rsidR="00F0177C" w:rsidRPr="00906B43">
        <w:rPr>
          <w:rFonts w:ascii="Arial" w:hAnsi="Arial" w:cs="Arial"/>
        </w:rPr>
        <w:t xml:space="preserve"> </w:t>
      </w:r>
      <w:r w:rsidR="00F0177C" w:rsidRPr="00906B43">
        <w:rPr>
          <w:rFonts w:ascii="Arial" w:eastAsia="Times New Roman" w:hAnsi="Arial" w:cs="Arial"/>
          <w:b/>
          <w:bCs/>
          <w:color w:val="000000"/>
          <w:lang w:eastAsia="hr-HR"/>
        </w:rPr>
        <w:t>GODIŠNJEG IZVJEŠTAJA</w:t>
      </w:r>
    </w:p>
    <w:p w14:paraId="0FFD2556" w14:textId="7E24DBCF" w:rsidR="00F0177C" w:rsidRPr="00906B43" w:rsidRDefault="00F0177C" w:rsidP="00906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906B43">
        <w:rPr>
          <w:rFonts w:ascii="Arial" w:eastAsia="Times New Roman" w:hAnsi="Arial" w:cs="Arial"/>
          <w:b/>
          <w:bCs/>
          <w:color w:val="000000"/>
          <w:lang w:eastAsia="hr-HR"/>
        </w:rPr>
        <w:t>o izvršenju Financijskog plana Zavoda z</w:t>
      </w:r>
      <w:r w:rsidR="00A00918" w:rsidRPr="00906B43">
        <w:rPr>
          <w:rFonts w:ascii="Arial" w:eastAsia="Times New Roman" w:hAnsi="Arial" w:cs="Arial"/>
          <w:b/>
          <w:bCs/>
          <w:color w:val="000000"/>
          <w:lang w:eastAsia="hr-HR"/>
        </w:rPr>
        <w:t>a prostorno uređenje Međimurske</w:t>
      </w:r>
      <w:r w:rsidR="005F6A7D">
        <w:rPr>
          <w:rFonts w:ascii="Arial" w:eastAsia="Times New Roman" w:hAnsi="Arial" w:cs="Arial"/>
          <w:b/>
          <w:bCs/>
          <w:color w:val="000000"/>
          <w:lang w:eastAsia="hr-HR"/>
        </w:rPr>
        <w:t xml:space="preserve"> žu</w:t>
      </w:r>
      <w:r w:rsidR="008931B0">
        <w:rPr>
          <w:rFonts w:ascii="Arial" w:eastAsia="Times New Roman" w:hAnsi="Arial" w:cs="Arial"/>
          <w:b/>
          <w:bCs/>
          <w:color w:val="000000"/>
          <w:lang w:eastAsia="hr-HR"/>
        </w:rPr>
        <w:t>panije za razdoblje od 01.01.</w:t>
      </w:r>
      <w:r w:rsidR="002A2E72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="008931B0">
        <w:rPr>
          <w:rFonts w:ascii="Arial" w:eastAsia="Times New Roman" w:hAnsi="Arial" w:cs="Arial"/>
          <w:b/>
          <w:bCs/>
          <w:color w:val="000000"/>
          <w:lang w:eastAsia="hr-HR"/>
        </w:rPr>
        <w:t>-</w:t>
      </w:r>
      <w:r w:rsidR="002A2E72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="008931B0">
        <w:rPr>
          <w:rFonts w:ascii="Arial" w:eastAsia="Times New Roman" w:hAnsi="Arial" w:cs="Arial"/>
          <w:b/>
          <w:bCs/>
          <w:color w:val="000000"/>
          <w:lang w:eastAsia="hr-HR"/>
        </w:rPr>
        <w:t>31.12</w:t>
      </w:r>
      <w:r w:rsidR="00010E96">
        <w:rPr>
          <w:rFonts w:ascii="Arial" w:eastAsia="Times New Roman" w:hAnsi="Arial" w:cs="Arial"/>
          <w:b/>
          <w:bCs/>
          <w:color w:val="000000"/>
          <w:lang w:eastAsia="hr-HR"/>
        </w:rPr>
        <w:t>.2025</w:t>
      </w:r>
      <w:r w:rsidR="005F6A7D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  <w:r w:rsidR="00DC1BD2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="005F6A7D">
        <w:rPr>
          <w:rFonts w:ascii="Arial" w:eastAsia="Times New Roman" w:hAnsi="Arial" w:cs="Arial"/>
          <w:b/>
          <w:bCs/>
          <w:color w:val="000000"/>
          <w:lang w:eastAsia="hr-HR"/>
        </w:rPr>
        <w:t>godine</w:t>
      </w:r>
    </w:p>
    <w:p w14:paraId="7D8DFFFF" w14:textId="77777777" w:rsidR="00F0177C" w:rsidRPr="00533D6B" w:rsidRDefault="00F0177C" w:rsidP="00F0177C">
      <w:pPr>
        <w:jc w:val="both"/>
        <w:rPr>
          <w:rFonts w:cstheme="minorHAnsi"/>
          <w:u w:val="single"/>
        </w:rPr>
      </w:pPr>
    </w:p>
    <w:p w14:paraId="4BA2DCD6" w14:textId="77777777" w:rsidR="0008282C" w:rsidRPr="00906B43" w:rsidRDefault="0008282C" w:rsidP="0008282C">
      <w:pPr>
        <w:ind w:firstLine="708"/>
        <w:jc w:val="both"/>
        <w:rPr>
          <w:rFonts w:ascii="Arial" w:hAnsi="Arial" w:cs="Arial"/>
        </w:rPr>
      </w:pPr>
      <w:r w:rsidRPr="00906B43">
        <w:rPr>
          <w:rFonts w:ascii="Arial" w:hAnsi="Arial" w:cs="Arial"/>
          <w:b/>
          <w:bCs/>
        </w:rPr>
        <w:t>1. UVOD</w:t>
      </w:r>
    </w:p>
    <w:p w14:paraId="41FED9AE" w14:textId="77777777" w:rsidR="0008282C" w:rsidRPr="00906B43" w:rsidRDefault="0008282C" w:rsidP="0008282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906B43">
        <w:rPr>
          <w:rFonts w:ascii="Arial" w:eastAsia="Times New Roman" w:hAnsi="Arial" w:cs="Arial"/>
        </w:rPr>
        <w:tab/>
        <w:t>Zavod z</w:t>
      </w:r>
      <w:r w:rsidR="00A00918" w:rsidRPr="00906B43">
        <w:rPr>
          <w:rFonts w:ascii="Arial" w:eastAsia="Times New Roman" w:hAnsi="Arial" w:cs="Arial"/>
        </w:rPr>
        <w:t>a prostorno uređenje Međimurske</w:t>
      </w:r>
      <w:r w:rsidRPr="00906B43">
        <w:rPr>
          <w:rFonts w:ascii="Arial" w:eastAsia="Times New Roman" w:hAnsi="Arial" w:cs="Arial"/>
        </w:rPr>
        <w:t xml:space="preserve"> županije (dalje u tekstu: Zavod) je osnovan kao javna ustanova temeljem Zakona o prostornom uređenju i gradnji iz 2007. god. (uz usklađenje sa Zakonom o prostornom uređenju iz 2013. god.), te u skladu sa Zakonom o ustanovama. </w:t>
      </w:r>
    </w:p>
    <w:p w14:paraId="68F1BD2D" w14:textId="77777777" w:rsidR="0008282C" w:rsidRPr="00906B43" w:rsidRDefault="0008282C" w:rsidP="0008282C">
      <w:pPr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906B43">
        <w:rPr>
          <w:rFonts w:ascii="Arial" w:eastAsia="Times New Roman" w:hAnsi="Arial" w:cs="Arial"/>
        </w:rPr>
        <w:t xml:space="preserve">Odluku o osnivanju Zavoda je donijela </w:t>
      </w:r>
      <w:r w:rsidR="00A00918" w:rsidRPr="00906B43">
        <w:rPr>
          <w:rFonts w:ascii="Arial" w:eastAsia="Times New Roman" w:hAnsi="Arial" w:cs="Arial"/>
        </w:rPr>
        <w:t>Županijska skupština Međimurske</w:t>
      </w:r>
      <w:r w:rsidRPr="00906B43">
        <w:rPr>
          <w:rFonts w:ascii="Arial" w:eastAsia="Times New Roman" w:hAnsi="Arial" w:cs="Arial"/>
        </w:rPr>
        <w:t xml:space="preserve"> županije</w:t>
      </w:r>
      <w:r w:rsidR="00B94466" w:rsidRPr="00906B43">
        <w:rPr>
          <w:rFonts w:ascii="Arial" w:eastAsia="Times New Roman" w:hAnsi="Arial" w:cs="Arial"/>
        </w:rPr>
        <w:t>,</w:t>
      </w:r>
      <w:r w:rsidR="00347562">
        <w:rPr>
          <w:rFonts w:ascii="Arial" w:eastAsia="Times New Roman" w:hAnsi="Arial" w:cs="Arial"/>
        </w:rPr>
        <w:t xml:space="preserve"> </w:t>
      </w:r>
      <w:r w:rsidR="00B94466" w:rsidRPr="00906B43">
        <w:rPr>
          <w:rFonts w:ascii="Arial" w:eastAsia="Times New Roman" w:hAnsi="Arial" w:cs="Arial"/>
        </w:rPr>
        <w:t>a</w:t>
      </w:r>
      <w:r w:rsidRPr="00906B43">
        <w:rPr>
          <w:rFonts w:ascii="Arial" w:eastAsia="Times New Roman" w:hAnsi="Arial" w:cs="Arial"/>
        </w:rPr>
        <w:t xml:space="preserve"> Zavod je upisan u Registar Trgovačkog su</w:t>
      </w:r>
      <w:r w:rsidR="00B94466" w:rsidRPr="00906B43">
        <w:rPr>
          <w:rFonts w:ascii="Arial" w:eastAsia="Times New Roman" w:hAnsi="Arial" w:cs="Arial"/>
        </w:rPr>
        <w:t>da u Varaždinu s danom 11.04.20</w:t>
      </w:r>
      <w:r w:rsidR="00C236E7">
        <w:rPr>
          <w:rFonts w:ascii="Arial" w:eastAsia="Times New Roman" w:hAnsi="Arial" w:cs="Arial"/>
        </w:rPr>
        <w:t>0</w:t>
      </w:r>
      <w:r w:rsidR="00B94466" w:rsidRPr="00906B43">
        <w:rPr>
          <w:rFonts w:ascii="Arial" w:eastAsia="Times New Roman" w:hAnsi="Arial" w:cs="Arial"/>
        </w:rPr>
        <w:t>8</w:t>
      </w:r>
      <w:r w:rsidRPr="00906B43">
        <w:rPr>
          <w:rFonts w:ascii="Arial" w:eastAsia="Times New Roman" w:hAnsi="Arial" w:cs="Arial"/>
        </w:rPr>
        <w:t>. godine, a</w:t>
      </w:r>
      <w:r w:rsidRPr="00906B43">
        <w:rPr>
          <w:rFonts w:ascii="Arial" w:hAnsi="Arial" w:cs="Arial"/>
        </w:rPr>
        <w:t xml:space="preserve"> </w:t>
      </w:r>
      <w:r w:rsidRPr="00906B43">
        <w:rPr>
          <w:rFonts w:ascii="Arial" w:eastAsia="Times New Roman" w:hAnsi="Arial" w:cs="Arial"/>
        </w:rPr>
        <w:t>funkcioniranje javne usta</w:t>
      </w:r>
      <w:r w:rsidR="00B94466" w:rsidRPr="00906B43">
        <w:rPr>
          <w:rFonts w:ascii="Arial" w:eastAsia="Times New Roman" w:hAnsi="Arial" w:cs="Arial"/>
        </w:rPr>
        <w:t>nove je uspostavljeno 01.05.2008</w:t>
      </w:r>
      <w:r w:rsidRPr="00906B43">
        <w:rPr>
          <w:rFonts w:ascii="Arial" w:eastAsia="Times New Roman" w:hAnsi="Arial" w:cs="Arial"/>
        </w:rPr>
        <w:t xml:space="preserve">. godine. </w:t>
      </w:r>
    </w:p>
    <w:p w14:paraId="1CF366CE" w14:textId="5D41295C" w:rsidR="0008282C" w:rsidRPr="00906B43" w:rsidRDefault="0008282C" w:rsidP="000828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906B43">
        <w:rPr>
          <w:rFonts w:ascii="Arial" w:eastAsia="Times New Roman" w:hAnsi="Arial" w:cs="Arial"/>
        </w:rPr>
        <w:t xml:space="preserve">U skladu s odredbama </w:t>
      </w:r>
      <w:r w:rsidRPr="00906B43">
        <w:rPr>
          <w:rFonts w:ascii="Arial" w:hAnsi="Arial" w:cs="Arial"/>
        </w:rPr>
        <w:t>Zakona o prostornom uređenju (NN br. 1</w:t>
      </w:r>
      <w:r w:rsidR="00F65BCD" w:rsidRPr="00906B43">
        <w:rPr>
          <w:rFonts w:ascii="Arial" w:hAnsi="Arial" w:cs="Arial"/>
        </w:rPr>
        <w:t>53/13., 65/17., 114/18., 39/19.,</w:t>
      </w:r>
      <w:r w:rsidRPr="00906B43">
        <w:rPr>
          <w:rFonts w:ascii="Arial" w:hAnsi="Arial" w:cs="Arial"/>
        </w:rPr>
        <w:t xml:space="preserve"> 98/19.</w:t>
      </w:r>
      <w:r w:rsidR="00F65BCD" w:rsidRPr="00906B43">
        <w:rPr>
          <w:rFonts w:ascii="Arial" w:hAnsi="Arial" w:cs="Arial"/>
        </w:rPr>
        <w:t xml:space="preserve"> i 67/23.</w:t>
      </w:r>
      <w:r w:rsidRPr="00906B43">
        <w:rPr>
          <w:rFonts w:ascii="Arial" w:hAnsi="Arial" w:cs="Arial"/>
        </w:rPr>
        <w:t xml:space="preserve"> - dalje u tekstu: Zakon) </w:t>
      </w:r>
      <w:r w:rsidRPr="00906B43">
        <w:rPr>
          <w:rFonts w:ascii="Arial" w:eastAsia="Times New Roman" w:hAnsi="Arial" w:cs="Arial"/>
        </w:rPr>
        <w:t>Zavod je osnovan u cilju osiguranja stručne utemeljenosti prostornih planova i drugih dokumenta prostornog uređenja i obavljanja propisanih poslova pro</w:t>
      </w:r>
      <w:r w:rsidR="00B94466" w:rsidRPr="00906B43">
        <w:rPr>
          <w:rFonts w:ascii="Arial" w:eastAsia="Times New Roman" w:hAnsi="Arial" w:cs="Arial"/>
        </w:rPr>
        <w:t xml:space="preserve">stornog uređenja za Međimursku </w:t>
      </w:r>
      <w:r w:rsidRPr="00906B43">
        <w:rPr>
          <w:rFonts w:ascii="Arial" w:eastAsia="Times New Roman" w:hAnsi="Arial" w:cs="Arial"/>
        </w:rPr>
        <w:t xml:space="preserve">županiju. Konkretan djelokrug rada Zavoda propisan je  </w:t>
      </w:r>
      <w:r w:rsidRPr="00906B43">
        <w:rPr>
          <w:rFonts w:ascii="Arial" w:hAnsi="Arial" w:cs="Arial"/>
          <w:bCs/>
        </w:rPr>
        <w:t xml:space="preserve">odredbama čl. 27. </w:t>
      </w:r>
      <w:r w:rsidRPr="00906B43">
        <w:rPr>
          <w:rFonts w:ascii="Arial" w:hAnsi="Arial" w:cs="Arial"/>
        </w:rPr>
        <w:t>Zakona, te Odlukom o osnivanju Zavoda i Statutom Zavoda, a  obuhvaća osobito:</w:t>
      </w:r>
    </w:p>
    <w:p w14:paraId="40BB9F30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izradu, odnosno koordinaciju izrade i praćenje provedbe prostornih planova područne (regionalne) razine, </w:t>
      </w:r>
    </w:p>
    <w:p w14:paraId="78D6D0AC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izradu izvješća o stanju u prostoru</w:t>
      </w:r>
    </w:p>
    <w:p w14:paraId="64104753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vođenje informacijskog sustava prostornog uređenja i upravljanje njime u okviru njegovih ovlasti</w:t>
      </w:r>
    </w:p>
    <w:p w14:paraId="5F8D2A45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pripremu polazišta za izradu, odnosno stavljanje izvan snage prostornih planova užih područja</w:t>
      </w:r>
    </w:p>
    <w:p w14:paraId="459B8137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pružanje stručne savjetodavne pomoći u izradi prostornih planova lokalne razine</w:t>
      </w:r>
    </w:p>
    <w:p w14:paraId="79B90740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druge poslove u skladu sa Zakonom i Statutom Zavoda.</w:t>
      </w:r>
    </w:p>
    <w:p w14:paraId="4A580E25" w14:textId="77777777" w:rsidR="00F65BCD" w:rsidRPr="00906B43" w:rsidRDefault="00347562" w:rsidP="00F65BCD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8282C" w:rsidRPr="00906B43">
        <w:rPr>
          <w:rFonts w:ascii="Arial" w:hAnsi="Arial" w:cs="Arial"/>
        </w:rPr>
        <w:t xml:space="preserve"> skladu sa Zakonom,</w:t>
      </w:r>
      <w:r w:rsidR="00F65BCD" w:rsidRPr="00906B43">
        <w:rPr>
          <w:rFonts w:ascii="Arial" w:hAnsi="Arial" w:cs="Arial"/>
        </w:rPr>
        <w:t xml:space="preserve"> Zavod izdaje mišljenja u postupku izrade i donošenja prostornih planova uređenja općina i gradova, generalnih urbanističkih planova i urbanističkih planova uređenja u pogledu usklađenosti tih planova s prostornim planom Županije, te usklađenosti sa Zakonom i propisima donesenim na temelju Zakona.</w:t>
      </w:r>
    </w:p>
    <w:p w14:paraId="2F2390DC" w14:textId="77777777" w:rsidR="0008282C" w:rsidRPr="00906B43" w:rsidRDefault="0008282C" w:rsidP="0008282C">
      <w:pPr>
        <w:spacing w:after="12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Zavod može </w:t>
      </w:r>
      <w:r w:rsidR="00F65BCD" w:rsidRPr="00906B43">
        <w:rPr>
          <w:rFonts w:ascii="Arial" w:hAnsi="Arial" w:cs="Arial"/>
        </w:rPr>
        <w:t xml:space="preserve">u skladu sa Zakonom </w:t>
      </w:r>
      <w:r w:rsidRPr="00906B43">
        <w:rPr>
          <w:rFonts w:ascii="Arial" w:hAnsi="Arial" w:cs="Arial"/>
        </w:rPr>
        <w:t>izrađivati i prostorne planove područja posebnih obilježja, određene prostorne planove lokalne razine i urbanističke planove uređenja od značaja za Državu, odnosn</w:t>
      </w:r>
      <w:r w:rsidR="00F65BCD" w:rsidRPr="00906B43">
        <w:rPr>
          <w:rFonts w:ascii="Arial" w:hAnsi="Arial" w:cs="Arial"/>
        </w:rPr>
        <w:t>o Županiju, te obavljati stručno</w:t>
      </w:r>
      <w:r w:rsidRPr="00906B43">
        <w:rPr>
          <w:rFonts w:ascii="Arial" w:hAnsi="Arial" w:cs="Arial"/>
        </w:rPr>
        <w:t xml:space="preserve"> analitičke poslove iz područja prostornog uređenja, ako to zatraži nadležno Ministarstvo ili Župan.</w:t>
      </w:r>
    </w:p>
    <w:p w14:paraId="02792596" w14:textId="77777777" w:rsidR="0008282C" w:rsidRPr="00906B43" w:rsidRDefault="0008282C" w:rsidP="0008282C">
      <w:pPr>
        <w:spacing w:after="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Zavod se financira u skladu s Odlukom o osnivanju Zavoda i Statutom</w:t>
      </w:r>
      <w:r w:rsidR="00B94466" w:rsidRPr="00906B43">
        <w:rPr>
          <w:rFonts w:ascii="Arial" w:hAnsi="Arial" w:cs="Arial"/>
        </w:rPr>
        <w:t xml:space="preserve"> Zavoda iz Proračuna Međimurske</w:t>
      </w:r>
      <w:r w:rsidRPr="00906B43">
        <w:rPr>
          <w:rFonts w:ascii="Arial" w:hAnsi="Arial" w:cs="Arial"/>
        </w:rPr>
        <w:t xml:space="preserve"> županije i iz drugih izvora sukladno Zakonu, te se</w:t>
      </w:r>
      <w:r w:rsidRPr="00906B43">
        <w:rPr>
          <w:rFonts w:ascii="Arial" w:eastAsia="Calibri" w:hAnsi="Arial" w:cs="Arial"/>
        </w:rPr>
        <w:t xml:space="preserve"> kao </w:t>
      </w:r>
      <w:r w:rsidR="00B94466" w:rsidRPr="00906B43">
        <w:rPr>
          <w:rFonts w:ascii="Arial" w:eastAsia="Calibri" w:hAnsi="Arial" w:cs="Arial"/>
        </w:rPr>
        <w:t>proračunski korisnik Međimurske</w:t>
      </w:r>
      <w:r w:rsidRPr="00906B43">
        <w:rPr>
          <w:rFonts w:ascii="Arial" w:eastAsia="Calibri" w:hAnsi="Arial" w:cs="Arial"/>
        </w:rPr>
        <w:t xml:space="preserve"> županije vodi u Registru kori</w:t>
      </w:r>
      <w:r w:rsidR="00B94466" w:rsidRPr="00906B43">
        <w:rPr>
          <w:rFonts w:ascii="Arial" w:eastAsia="Calibri" w:hAnsi="Arial" w:cs="Arial"/>
        </w:rPr>
        <w:t>snika Proračuna pod brojem 43548</w:t>
      </w:r>
      <w:r w:rsidRPr="00906B43">
        <w:rPr>
          <w:rFonts w:ascii="Arial" w:eastAsia="Calibri" w:hAnsi="Arial" w:cs="Arial"/>
        </w:rPr>
        <w:t>.</w:t>
      </w:r>
    </w:p>
    <w:p w14:paraId="7CA3A0EA" w14:textId="27DC8A36" w:rsidR="0008282C" w:rsidRPr="00906B43" w:rsidRDefault="00B94466" w:rsidP="0008282C">
      <w:pPr>
        <w:spacing w:after="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Međimurska</w:t>
      </w:r>
      <w:r w:rsidR="0008282C" w:rsidRPr="00906B43">
        <w:rPr>
          <w:rFonts w:ascii="Arial" w:hAnsi="Arial" w:cs="Arial"/>
        </w:rPr>
        <w:t xml:space="preserve"> županija, kao osnivač Zavoda, osig</w:t>
      </w:r>
      <w:r w:rsidRPr="00906B43">
        <w:rPr>
          <w:rFonts w:ascii="Arial" w:hAnsi="Arial" w:cs="Arial"/>
        </w:rPr>
        <w:t>urala je u Proračunu Međimurske</w:t>
      </w:r>
      <w:r w:rsidR="0008282C" w:rsidRPr="00906B43">
        <w:rPr>
          <w:rFonts w:ascii="Arial" w:hAnsi="Arial" w:cs="Arial"/>
        </w:rPr>
        <w:t xml:space="preserve"> županije za 202</w:t>
      </w:r>
      <w:r w:rsidR="00010E96">
        <w:rPr>
          <w:rFonts w:ascii="Arial" w:hAnsi="Arial" w:cs="Arial"/>
        </w:rPr>
        <w:t>5</w:t>
      </w:r>
      <w:r w:rsidR="0008282C" w:rsidRPr="00906B43">
        <w:rPr>
          <w:rFonts w:ascii="Arial" w:hAnsi="Arial" w:cs="Arial"/>
        </w:rPr>
        <w:t>. godinu i projekcijama za 202</w:t>
      </w:r>
      <w:r w:rsidR="00010E96">
        <w:rPr>
          <w:rFonts w:ascii="Arial" w:hAnsi="Arial" w:cs="Arial"/>
        </w:rPr>
        <w:t>6</w:t>
      </w:r>
      <w:r w:rsidR="0008282C" w:rsidRPr="00906B43">
        <w:rPr>
          <w:rFonts w:ascii="Arial" w:hAnsi="Arial" w:cs="Arial"/>
        </w:rPr>
        <w:t>. i 202</w:t>
      </w:r>
      <w:r w:rsidR="00010E96">
        <w:rPr>
          <w:rFonts w:ascii="Arial" w:hAnsi="Arial" w:cs="Arial"/>
        </w:rPr>
        <w:t>7</w:t>
      </w:r>
      <w:r w:rsidR="0008282C" w:rsidRPr="00906B43">
        <w:rPr>
          <w:rFonts w:ascii="Arial" w:hAnsi="Arial" w:cs="Arial"/>
        </w:rPr>
        <w:t xml:space="preserve">. godinu financijska sredstva potrebna za rad Zavoda za navedeno razdoblje tj. za obavljanje poslova propisanih Zakonom o prostornom uređenju, te izvršavanje zadataka koje u skladu sa Zakonom Zavodu postavlja Župan. </w:t>
      </w:r>
    </w:p>
    <w:p w14:paraId="2C611E68" w14:textId="52AF00A6" w:rsidR="00A5762B" w:rsidRPr="00906B43" w:rsidRDefault="0008282C" w:rsidP="00FE2AF5">
      <w:pPr>
        <w:tabs>
          <w:tab w:val="left" w:pos="4395"/>
        </w:tabs>
        <w:spacing w:after="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Financijski plan Zavoda za 202</w:t>
      </w:r>
      <w:r w:rsidR="00010E96">
        <w:rPr>
          <w:rFonts w:ascii="Arial" w:hAnsi="Arial" w:cs="Arial"/>
        </w:rPr>
        <w:t>5</w:t>
      </w:r>
      <w:r w:rsidRPr="00906B43">
        <w:rPr>
          <w:rFonts w:ascii="Arial" w:hAnsi="Arial" w:cs="Arial"/>
        </w:rPr>
        <w:t>. g</w:t>
      </w:r>
      <w:r w:rsidR="00521947" w:rsidRPr="00906B43">
        <w:rPr>
          <w:rFonts w:ascii="Arial" w:hAnsi="Arial" w:cs="Arial"/>
        </w:rPr>
        <w:t>odinu i projek</w:t>
      </w:r>
      <w:r w:rsidR="00C236E7">
        <w:rPr>
          <w:rFonts w:ascii="Arial" w:hAnsi="Arial" w:cs="Arial"/>
        </w:rPr>
        <w:t>cije plan</w:t>
      </w:r>
      <w:r w:rsidR="00010E96">
        <w:rPr>
          <w:rFonts w:ascii="Arial" w:hAnsi="Arial" w:cs="Arial"/>
        </w:rPr>
        <w:t>a za 2026</w:t>
      </w:r>
      <w:r w:rsidRPr="00906B43">
        <w:rPr>
          <w:rFonts w:ascii="Arial" w:hAnsi="Arial" w:cs="Arial"/>
        </w:rPr>
        <w:t>. i 202</w:t>
      </w:r>
      <w:r w:rsidR="00010E96">
        <w:rPr>
          <w:rFonts w:ascii="Arial" w:hAnsi="Arial" w:cs="Arial"/>
        </w:rPr>
        <w:t>7</w:t>
      </w:r>
      <w:r w:rsidR="00B94466" w:rsidRPr="00906B43">
        <w:rPr>
          <w:rFonts w:ascii="Arial" w:hAnsi="Arial" w:cs="Arial"/>
        </w:rPr>
        <w:t xml:space="preserve">. godinu usvojen je na </w:t>
      </w:r>
      <w:r w:rsidR="00B82EE8">
        <w:rPr>
          <w:rFonts w:ascii="Arial" w:hAnsi="Arial" w:cs="Arial"/>
        </w:rPr>
        <w:t xml:space="preserve">3. </w:t>
      </w:r>
      <w:r w:rsidRPr="00906B43">
        <w:rPr>
          <w:rFonts w:ascii="Arial" w:hAnsi="Arial" w:cs="Arial"/>
        </w:rPr>
        <w:t xml:space="preserve">sjednici Upravnog vijeća Zavoda održanoj </w:t>
      </w:r>
      <w:r w:rsidR="00B82EE8">
        <w:rPr>
          <w:rFonts w:ascii="Arial" w:hAnsi="Arial" w:cs="Arial"/>
        </w:rPr>
        <w:t>16.12.2024.</w:t>
      </w:r>
      <w:r w:rsidR="00B94466" w:rsidRPr="00906B43">
        <w:rPr>
          <w:rFonts w:ascii="Arial" w:hAnsi="Arial" w:cs="Arial"/>
        </w:rPr>
        <w:t xml:space="preserve"> godine</w:t>
      </w:r>
      <w:r w:rsidR="00521947" w:rsidRPr="00906B43">
        <w:rPr>
          <w:rFonts w:ascii="Arial" w:hAnsi="Arial" w:cs="Arial"/>
        </w:rPr>
        <w:t>, a usklađen je s</w:t>
      </w:r>
      <w:r w:rsidRPr="00906B43">
        <w:rPr>
          <w:rFonts w:ascii="Arial" w:hAnsi="Arial" w:cs="Arial"/>
        </w:rPr>
        <w:t xml:space="preserve"> Proračun</w:t>
      </w:r>
      <w:r w:rsidR="00521947" w:rsidRPr="00906B43">
        <w:rPr>
          <w:rFonts w:ascii="Arial" w:hAnsi="Arial" w:cs="Arial"/>
        </w:rPr>
        <w:t>om</w:t>
      </w:r>
      <w:r w:rsidR="00B94466" w:rsidRPr="00906B43">
        <w:rPr>
          <w:rFonts w:ascii="Arial" w:hAnsi="Arial" w:cs="Arial"/>
        </w:rPr>
        <w:t xml:space="preserve"> Međimurske</w:t>
      </w:r>
      <w:r w:rsidRPr="00906B43">
        <w:rPr>
          <w:rFonts w:ascii="Arial" w:hAnsi="Arial" w:cs="Arial"/>
        </w:rPr>
        <w:t xml:space="preserve"> županije za navedeno razdoblje</w:t>
      </w:r>
      <w:r w:rsidR="00B94466" w:rsidRPr="00906B43">
        <w:rPr>
          <w:rFonts w:ascii="Arial" w:hAnsi="Arial" w:cs="Arial"/>
        </w:rPr>
        <w:t>.</w:t>
      </w:r>
      <w:r w:rsidR="00241F62">
        <w:rPr>
          <w:rFonts w:ascii="Arial" w:hAnsi="Arial" w:cs="Arial"/>
        </w:rPr>
        <w:t xml:space="preserve"> I.</w:t>
      </w:r>
      <w:r w:rsidR="00A5762B" w:rsidRPr="00906B43">
        <w:rPr>
          <w:rFonts w:ascii="Arial" w:hAnsi="Arial" w:cs="Arial"/>
        </w:rPr>
        <w:t xml:space="preserve"> </w:t>
      </w:r>
      <w:r w:rsidR="00241F62">
        <w:rPr>
          <w:rFonts w:ascii="Arial" w:hAnsi="Arial" w:cs="Arial"/>
        </w:rPr>
        <w:t>i</w:t>
      </w:r>
      <w:r w:rsidR="00A5762B" w:rsidRPr="00906B43">
        <w:rPr>
          <w:rFonts w:ascii="Arial" w:hAnsi="Arial" w:cs="Arial"/>
        </w:rPr>
        <w:t>zmjene i dopune F</w:t>
      </w:r>
      <w:r w:rsidR="00010E96">
        <w:rPr>
          <w:rFonts w:ascii="Arial" w:hAnsi="Arial" w:cs="Arial"/>
        </w:rPr>
        <w:t>inancijskog plana Zavoda za 2025</w:t>
      </w:r>
      <w:r w:rsidR="00A5762B" w:rsidRPr="00906B43">
        <w:rPr>
          <w:rFonts w:ascii="Arial" w:hAnsi="Arial" w:cs="Arial"/>
        </w:rPr>
        <w:t>.</w:t>
      </w:r>
      <w:r w:rsidR="00FE2AF5">
        <w:rPr>
          <w:rFonts w:ascii="Arial" w:hAnsi="Arial" w:cs="Arial"/>
        </w:rPr>
        <w:t xml:space="preserve"> </w:t>
      </w:r>
      <w:r w:rsidR="00A5762B" w:rsidRPr="00906B43">
        <w:rPr>
          <w:rFonts w:ascii="Arial" w:hAnsi="Arial" w:cs="Arial"/>
        </w:rPr>
        <w:t xml:space="preserve">donesene </w:t>
      </w:r>
      <w:r w:rsidR="00A5762B" w:rsidRPr="00347562">
        <w:rPr>
          <w:rFonts w:ascii="Arial" w:hAnsi="Arial" w:cs="Arial"/>
        </w:rPr>
        <w:t>su</w:t>
      </w:r>
      <w:r w:rsidR="00B068F9" w:rsidRPr="00347562">
        <w:rPr>
          <w:rFonts w:ascii="Arial" w:hAnsi="Arial" w:cs="Arial"/>
        </w:rPr>
        <w:t xml:space="preserve"> </w:t>
      </w:r>
      <w:r w:rsidR="00010E96">
        <w:rPr>
          <w:rFonts w:ascii="Arial" w:hAnsi="Arial" w:cs="Arial"/>
        </w:rPr>
        <w:t xml:space="preserve">na </w:t>
      </w:r>
      <w:r w:rsidR="00B82EE8">
        <w:rPr>
          <w:rFonts w:ascii="Arial" w:hAnsi="Arial" w:cs="Arial"/>
        </w:rPr>
        <w:t xml:space="preserve">9. </w:t>
      </w:r>
      <w:r w:rsidR="00241F62">
        <w:rPr>
          <w:rFonts w:ascii="Arial" w:hAnsi="Arial" w:cs="Arial"/>
        </w:rPr>
        <w:t>sjednici Up</w:t>
      </w:r>
      <w:r w:rsidR="00C236E7">
        <w:rPr>
          <w:rFonts w:ascii="Arial" w:hAnsi="Arial" w:cs="Arial"/>
        </w:rPr>
        <w:t xml:space="preserve">ravnog </w:t>
      </w:r>
      <w:r w:rsidR="00010E96">
        <w:rPr>
          <w:rFonts w:ascii="Arial" w:hAnsi="Arial" w:cs="Arial"/>
        </w:rPr>
        <w:t xml:space="preserve">vijeća održanoj </w:t>
      </w:r>
      <w:r w:rsidR="00B82EE8">
        <w:rPr>
          <w:rFonts w:ascii="Arial" w:hAnsi="Arial" w:cs="Arial"/>
        </w:rPr>
        <w:t>3.12.2025.</w:t>
      </w:r>
      <w:r w:rsidR="00C236E7">
        <w:rPr>
          <w:rFonts w:ascii="Arial" w:hAnsi="Arial" w:cs="Arial"/>
        </w:rPr>
        <w:t xml:space="preserve"> godine.</w:t>
      </w:r>
    </w:p>
    <w:p w14:paraId="24D84DD4" w14:textId="11491AD3" w:rsidR="0008282C" w:rsidRPr="00906B43" w:rsidRDefault="0008282C" w:rsidP="0008282C">
      <w:pPr>
        <w:tabs>
          <w:tab w:val="left" w:pos="4395"/>
        </w:tabs>
        <w:spacing w:after="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Financijski plan Zavoda za 202</w:t>
      </w:r>
      <w:r w:rsidR="00010E96">
        <w:rPr>
          <w:rFonts w:ascii="Arial" w:hAnsi="Arial" w:cs="Arial"/>
        </w:rPr>
        <w:t>5</w:t>
      </w:r>
      <w:r w:rsidRPr="00906B43">
        <w:rPr>
          <w:rFonts w:ascii="Arial" w:hAnsi="Arial" w:cs="Arial"/>
        </w:rPr>
        <w:t>. godi</w:t>
      </w:r>
      <w:r w:rsidR="00A5762B" w:rsidRPr="00906B43">
        <w:rPr>
          <w:rFonts w:ascii="Arial" w:hAnsi="Arial" w:cs="Arial"/>
        </w:rPr>
        <w:t xml:space="preserve">nu izvršavao se u proteklom </w:t>
      </w:r>
      <w:r w:rsidRPr="00906B43">
        <w:rPr>
          <w:rFonts w:ascii="Arial" w:hAnsi="Arial" w:cs="Arial"/>
        </w:rPr>
        <w:t>godišnjem razdoblju kako je navedeno</w:t>
      </w:r>
      <w:r w:rsidR="009109CD">
        <w:rPr>
          <w:rFonts w:ascii="Arial" w:hAnsi="Arial" w:cs="Arial"/>
        </w:rPr>
        <w:t xml:space="preserve"> u daljnjem tekstu</w:t>
      </w:r>
      <w:r w:rsidRPr="00906B43">
        <w:rPr>
          <w:rFonts w:ascii="Arial" w:hAnsi="Arial" w:cs="Arial"/>
        </w:rPr>
        <w:t>.</w:t>
      </w:r>
      <w:r w:rsidR="00521947" w:rsidRPr="00906B43">
        <w:rPr>
          <w:rFonts w:ascii="Arial" w:hAnsi="Arial" w:cs="Arial"/>
        </w:rPr>
        <w:t xml:space="preserve"> </w:t>
      </w:r>
    </w:p>
    <w:p w14:paraId="192E93E3" w14:textId="77777777" w:rsidR="00906B43" w:rsidRDefault="0008282C" w:rsidP="00521947">
      <w:pPr>
        <w:tabs>
          <w:tab w:val="left" w:pos="4395"/>
        </w:tabs>
        <w:spacing w:after="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lastRenderedPageBreak/>
        <w:t xml:space="preserve"> </w:t>
      </w:r>
      <w:r w:rsidRPr="00906B43">
        <w:rPr>
          <w:rFonts w:ascii="Arial" w:eastAsia="Calibri" w:hAnsi="Arial" w:cs="Arial"/>
        </w:rPr>
        <w:t>Osnovni sadržaj godišnjeg i polugodišnjeg izvješća o izvršenju financijskog plana proračunskih korisnika propisan je člankom 81. Zakona o proračunu („Narodne novine“ broj 144/21).</w:t>
      </w:r>
      <w:r w:rsidRPr="00906B43">
        <w:rPr>
          <w:rFonts w:ascii="Arial" w:hAnsi="Arial" w:cs="Arial"/>
        </w:rPr>
        <w:t xml:space="preserve"> </w:t>
      </w:r>
    </w:p>
    <w:p w14:paraId="2AEC2516" w14:textId="77777777" w:rsidR="00241F62" w:rsidRDefault="00241F62" w:rsidP="00521947">
      <w:pPr>
        <w:tabs>
          <w:tab w:val="left" w:pos="4395"/>
        </w:tabs>
        <w:spacing w:after="0"/>
        <w:ind w:firstLine="567"/>
        <w:jc w:val="both"/>
        <w:rPr>
          <w:rFonts w:ascii="Arial" w:hAnsi="Arial" w:cs="Arial"/>
        </w:rPr>
      </w:pPr>
    </w:p>
    <w:p w14:paraId="40578A9E" w14:textId="77777777" w:rsidR="00241F62" w:rsidRDefault="00241F62" w:rsidP="00521947">
      <w:pPr>
        <w:tabs>
          <w:tab w:val="left" w:pos="4395"/>
        </w:tabs>
        <w:spacing w:after="0"/>
        <w:ind w:firstLine="567"/>
        <w:jc w:val="both"/>
        <w:rPr>
          <w:rFonts w:ascii="Arial" w:hAnsi="Arial" w:cs="Arial"/>
        </w:rPr>
      </w:pPr>
    </w:p>
    <w:p w14:paraId="796DB021" w14:textId="77777777" w:rsidR="000718EA" w:rsidRPr="00906B43" w:rsidRDefault="000718EA" w:rsidP="00F0177C">
      <w:pPr>
        <w:rPr>
          <w:rFonts w:ascii="Arial" w:hAnsi="Arial" w:cs="Arial"/>
          <w:b/>
          <w:bCs/>
        </w:rPr>
      </w:pPr>
      <w:r w:rsidRPr="00906B43">
        <w:rPr>
          <w:rFonts w:ascii="Arial" w:hAnsi="Arial" w:cs="Arial"/>
          <w:b/>
          <w:bCs/>
        </w:rPr>
        <w:t xml:space="preserve">2. PRIHODI I PRIMICI </w:t>
      </w:r>
    </w:p>
    <w:p w14:paraId="000ACEF0" w14:textId="755CE18D" w:rsidR="00BB4C67" w:rsidRDefault="00BB4C67" w:rsidP="0060112F">
      <w:pPr>
        <w:spacing w:after="0" w:line="240" w:lineRule="auto"/>
        <w:jc w:val="both"/>
        <w:rPr>
          <w:rFonts w:ascii="Arial" w:hAnsi="Arial" w:cs="Arial"/>
          <w:bCs/>
        </w:rPr>
      </w:pPr>
      <w:r w:rsidRPr="00906B43">
        <w:rPr>
          <w:rFonts w:ascii="Arial" w:hAnsi="Arial" w:cs="Arial"/>
          <w:bCs/>
        </w:rPr>
        <w:t>Financijskim planom Zavoda u 202</w:t>
      </w:r>
      <w:r w:rsidR="00010E96">
        <w:rPr>
          <w:rFonts w:ascii="Arial" w:hAnsi="Arial" w:cs="Arial"/>
          <w:bCs/>
        </w:rPr>
        <w:t>5</w:t>
      </w:r>
      <w:r w:rsidRPr="00906B43">
        <w:rPr>
          <w:rFonts w:ascii="Arial" w:hAnsi="Arial" w:cs="Arial"/>
          <w:bCs/>
        </w:rPr>
        <w:t>. godini planirani su prihodi i primici u iznosu o</w:t>
      </w:r>
      <w:r w:rsidR="00442BDE" w:rsidRPr="00906B43">
        <w:rPr>
          <w:rFonts w:ascii="Arial" w:hAnsi="Arial" w:cs="Arial"/>
          <w:bCs/>
        </w:rPr>
        <w:t xml:space="preserve">d </w:t>
      </w:r>
      <w:r w:rsidR="00010E96">
        <w:rPr>
          <w:rFonts w:ascii="Arial" w:hAnsi="Arial" w:cs="Arial"/>
          <w:bCs/>
        </w:rPr>
        <w:t>326.928,28</w:t>
      </w:r>
      <w:r w:rsidR="00E76EC9" w:rsidRPr="00906B43">
        <w:rPr>
          <w:rFonts w:ascii="Arial" w:hAnsi="Arial" w:cs="Arial"/>
          <w:bCs/>
        </w:rPr>
        <w:t xml:space="preserve"> </w:t>
      </w:r>
      <w:r w:rsidR="00BC6525">
        <w:rPr>
          <w:rFonts w:ascii="Arial" w:hAnsi="Arial" w:cs="Arial"/>
          <w:bCs/>
        </w:rPr>
        <w:t>€</w:t>
      </w:r>
      <w:r w:rsidRPr="00906B43">
        <w:rPr>
          <w:rFonts w:ascii="Arial" w:hAnsi="Arial" w:cs="Arial"/>
          <w:bCs/>
        </w:rPr>
        <w:t xml:space="preserve">, a isti su </w:t>
      </w:r>
      <w:r w:rsidR="00A5762B" w:rsidRPr="00906B43">
        <w:rPr>
          <w:rFonts w:ascii="Arial" w:hAnsi="Arial" w:cs="Arial"/>
          <w:bCs/>
        </w:rPr>
        <w:t xml:space="preserve">u </w:t>
      </w:r>
      <w:r w:rsidRPr="00906B43">
        <w:rPr>
          <w:rFonts w:ascii="Arial" w:hAnsi="Arial" w:cs="Arial"/>
          <w:bCs/>
        </w:rPr>
        <w:t>202</w:t>
      </w:r>
      <w:r w:rsidR="00010E96">
        <w:rPr>
          <w:rFonts w:ascii="Arial" w:hAnsi="Arial" w:cs="Arial"/>
          <w:bCs/>
        </w:rPr>
        <w:t>5</w:t>
      </w:r>
      <w:r w:rsidR="00A5762B" w:rsidRPr="00906B43">
        <w:rPr>
          <w:rFonts w:ascii="Arial" w:hAnsi="Arial" w:cs="Arial"/>
          <w:bCs/>
        </w:rPr>
        <w:t>. godini</w:t>
      </w:r>
      <w:r w:rsidRPr="00906B43">
        <w:rPr>
          <w:rFonts w:ascii="Arial" w:hAnsi="Arial" w:cs="Arial"/>
          <w:bCs/>
        </w:rPr>
        <w:t xml:space="preserve"> naplaćeni u iznosu o</w:t>
      </w:r>
      <w:r w:rsidR="00010E96">
        <w:rPr>
          <w:rFonts w:ascii="Arial" w:hAnsi="Arial" w:cs="Arial"/>
          <w:bCs/>
        </w:rPr>
        <w:t>d 303.799,76</w:t>
      </w:r>
      <w:r w:rsidR="00E76EC9" w:rsidRPr="00906B43">
        <w:rPr>
          <w:rFonts w:ascii="Arial" w:hAnsi="Arial" w:cs="Arial"/>
          <w:bCs/>
        </w:rPr>
        <w:t xml:space="preserve"> </w:t>
      </w:r>
      <w:r w:rsidR="00BC6525">
        <w:rPr>
          <w:rFonts w:ascii="Arial" w:hAnsi="Arial" w:cs="Arial"/>
          <w:bCs/>
        </w:rPr>
        <w:t>€</w:t>
      </w:r>
      <w:r w:rsidRPr="00906B43">
        <w:rPr>
          <w:rFonts w:ascii="Arial" w:hAnsi="Arial" w:cs="Arial"/>
          <w:bCs/>
        </w:rPr>
        <w:t>, odnosn</w:t>
      </w:r>
      <w:r w:rsidR="00442BDE" w:rsidRPr="00906B43">
        <w:rPr>
          <w:rFonts w:ascii="Arial" w:hAnsi="Arial" w:cs="Arial"/>
          <w:bCs/>
        </w:rPr>
        <w:t xml:space="preserve">o </w:t>
      </w:r>
      <w:r w:rsidR="00010E96">
        <w:rPr>
          <w:rFonts w:ascii="Arial" w:hAnsi="Arial" w:cs="Arial"/>
          <w:bCs/>
        </w:rPr>
        <w:t>92,93</w:t>
      </w:r>
      <w:r w:rsidR="00E76EC9" w:rsidRPr="00906B43">
        <w:rPr>
          <w:rFonts w:ascii="Arial" w:hAnsi="Arial" w:cs="Arial"/>
          <w:bCs/>
        </w:rPr>
        <w:t xml:space="preserve"> </w:t>
      </w:r>
      <w:r w:rsidR="00442BDE" w:rsidRPr="00906B43">
        <w:rPr>
          <w:rFonts w:ascii="Arial" w:hAnsi="Arial" w:cs="Arial"/>
          <w:bCs/>
        </w:rPr>
        <w:t>% plana.</w:t>
      </w:r>
    </w:p>
    <w:p w14:paraId="30E9622F" w14:textId="77777777" w:rsidR="0060112F" w:rsidRPr="00906B43" w:rsidRDefault="0060112F" w:rsidP="0060112F">
      <w:pPr>
        <w:spacing w:after="0" w:line="240" w:lineRule="auto"/>
        <w:jc w:val="both"/>
        <w:rPr>
          <w:rFonts w:ascii="Arial" w:hAnsi="Arial" w:cs="Arial"/>
          <w:bCs/>
          <w:highlight w:val="yellow"/>
        </w:rPr>
      </w:pPr>
    </w:p>
    <w:p w14:paraId="33841A9A" w14:textId="77777777" w:rsidR="0060112F" w:rsidRDefault="00442BDE" w:rsidP="0060112F">
      <w:pPr>
        <w:spacing w:after="0" w:line="240" w:lineRule="auto"/>
        <w:jc w:val="both"/>
        <w:rPr>
          <w:rFonts w:ascii="Arial" w:hAnsi="Arial" w:cs="Arial"/>
          <w:bCs/>
        </w:rPr>
      </w:pPr>
      <w:r w:rsidRPr="00906B43">
        <w:rPr>
          <w:rFonts w:ascii="Arial" w:hAnsi="Arial" w:cs="Arial"/>
          <w:bCs/>
        </w:rPr>
        <w:t xml:space="preserve">Izvršenje </w:t>
      </w:r>
      <w:r w:rsidR="0001301C" w:rsidRPr="00906B43">
        <w:rPr>
          <w:rFonts w:ascii="Arial" w:hAnsi="Arial" w:cs="Arial"/>
          <w:bCs/>
        </w:rPr>
        <w:t xml:space="preserve">financijskog plana </w:t>
      </w:r>
      <w:r w:rsidR="008931B0">
        <w:rPr>
          <w:rFonts w:ascii="Arial" w:hAnsi="Arial" w:cs="Arial"/>
          <w:bCs/>
        </w:rPr>
        <w:t xml:space="preserve">u </w:t>
      </w:r>
      <w:r w:rsidRPr="00906B43">
        <w:rPr>
          <w:rFonts w:ascii="Arial" w:hAnsi="Arial" w:cs="Arial"/>
          <w:bCs/>
        </w:rPr>
        <w:t>202</w:t>
      </w:r>
      <w:r w:rsidR="00010E96">
        <w:rPr>
          <w:rFonts w:ascii="Arial" w:hAnsi="Arial" w:cs="Arial"/>
          <w:bCs/>
        </w:rPr>
        <w:t>5</w:t>
      </w:r>
      <w:r w:rsidR="008931B0">
        <w:rPr>
          <w:rFonts w:ascii="Arial" w:hAnsi="Arial" w:cs="Arial"/>
          <w:bCs/>
        </w:rPr>
        <w:t>. godin</w:t>
      </w:r>
      <w:r w:rsidR="00B82EE8">
        <w:rPr>
          <w:rFonts w:ascii="Arial" w:hAnsi="Arial" w:cs="Arial"/>
          <w:bCs/>
        </w:rPr>
        <w:t>i</w:t>
      </w:r>
      <w:r w:rsidRPr="00906B43">
        <w:rPr>
          <w:rFonts w:ascii="Arial" w:hAnsi="Arial" w:cs="Arial"/>
          <w:bCs/>
        </w:rPr>
        <w:t xml:space="preserve"> u odnosu na isto razdoblje pre</w:t>
      </w:r>
      <w:r w:rsidR="00010E96">
        <w:rPr>
          <w:rFonts w:ascii="Arial" w:hAnsi="Arial" w:cs="Arial"/>
          <w:bCs/>
        </w:rPr>
        <w:t>thodne godine iskazuje s</w:t>
      </w:r>
      <w:r w:rsidRPr="00906B43">
        <w:rPr>
          <w:rFonts w:ascii="Arial" w:hAnsi="Arial" w:cs="Arial"/>
          <w:bCs/>
        </w:rPr>
        <w:t xml:space="preserve"> ukupnih prihoda i primitaka</w:t>
      </w:r>
      <w:r w:rsidR="00BC6525">
        <w:rPr>
          <w:rFonts w:ascii="Arial" w:hAnsi="Arial" w:cs="Arial"/>
          <w:bCs/>
        </w:rPr>
        <w:t xml:space="preserve"> manje</w:t>
      </w:r>
      <w:r w:rsidRPr="00906B43">
        <w:rPr>
          <w:rFonts w:ascii="Arial" w:hAnsi="Arial" w:cs="Arial"/>
          <w:bCs/>
        </w:rPr>
        <w:t xml:space="preserve"> za </w:t>
      </w:r>
      <w:r w:rsidR="00635E45">
        <w:rPr>
          <w:rFonts w:ascii="Arial" w:hAnsi="Arial" w:cs="Arial"/>
          <w:bCs/>
        </w:rPr>
        <w:t>2,72% odnosno za 8.498,73</w:t>
      </w:r>
      <w:r w:rsidRPr="00906B43">
        <w:rPr>
          <w:rFonts w:ascii="Arial" w:hAnsi="Arial" w:cs="Arial"/>
          <w:bCs/>
        </w:rPr>
        <w:t xml:space="preserve"> </w:t>
      </w:r>
      <w:r w:rsidR="00BC6525">
        <w:rPr>
          <w:rFonts w:ascii="Arial" w:hAnsi="Arial" w:cs="Arial"/>
          <w:bCs/>
        </w:rPr>
        <w:t>€</w:t>
      </w:r>
      <w:r w:rsidRPr="00906B43">
        <w:rPr>
          <w:rFonts w:ascii="Arial" w:hAnsi="Arial" w:cs="Arial"/>
          <w:bCs/>
        </w:rPr>
        <w:t xml:space="preserve">. </w:t>
      </w:r>
    </w:p>
    <w:p w14:paraId="39B184DC" w14:textId="046861FF" w:rsidR="00442BDE" w:rsidRPr="00906B43" w:rsidRDefault="00442BDE" w:rsidP="0060112F">
      <w:pPr>
        <w:spacing w:after="0" w:line="240" w:lineRule="auto"/>
        <w:jc w:val="both"/>
        <w:rPr>
          <w:rFonts w:ascii="Arial" w:hAnsi="Arial" w:cs="Arial"/>
          <w:bCs/>
        </w:rPr>
      </w:pPr>
      <w:r w:rsidRPr="00906B43">
        <w:rPr>
          <w:rFonts w:ascii="Arial" w:hAnsi="Arial" w:cs="Arial"/>
          <w:bCs/>
        </w:rPr>
        <w:t xml:space="preserve"> </w:t>
      </w:r>
    </w:p>
    <w:p w14:paraId="6A42C430" w14:textId="794EEFEB" w:rsidR="00D2575A" w:rsidRDefault="009B203C" w:rsidP="0060112F">
      <w:pPr>
        <w:pStyle w:val="NoSpacing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Zavod</w:t>
      </w:r>
      <w:r w:rsidR="005D748E">
        <w:rPr>
          <w:rFonts w:ascii="Arial" w:hAnsi="Arial" w:cs="Arial"/>
        </w:rPr>
        <w:t xml:space="preserve"> je  prihode u izvještajnom razdoblju </w:t>
      </w:r>
      <w:r w:rsidR="00442BDE" w:rsidRPr="00906B43">
        <w:rPr>
          <w:rFonts w:ascii="Arial" w:hAnsi="Arial" w:cs="Arial"/>
        </w:rPr>
        <w:t xml:space="preserve"> ostvario od</w:t>
      </w:r>
      <w:r w:rsidRPr="00906B43">
        <w:rPr>
          <w:rFonts w:ascii="Arial" w:hAnsi="Arial" w:cs="Arial"/>
        </w:rPr>
        <w:t xml:space="preserve"> nadležnog proračuna Međimurske</w:t>
      </w:r>
      <w:r w:rsidR="00442BDE" w:rsidRPr="00906B43">
        <w:rPr>
          <w:rFonts w:ascii="Arial" w:hAnsi="Arial" w:cs="Arial"/>
        </w:rPr>
        <w:t xml:space="preserve"> županije za f</w:t>
      </w:r>
      <w:r w:rsidR="00D2575A" w:rsidRPr="00906B43">
        <w:rPr>
          <w:rFonts w:ascii="Arial" w:hAnsi="Arial" w:cs="Arial"/>
        </w:rPr>
        <w:t>inanciranje rashoda poslovanja</w:t>
      </w:r>
      <w:r w:rsidR="00241F62">
        <w:rPr>
          <w:rFonts w:ascii="Arial" w:hAnsi="Arial" w:cs="Arial"/>
        </w:rPr>
        <w:t xml:space="preserve"> </w:t>
      </w:r>
      <w:r w:rsidR="005813DA">
        <w:rPr>
          <w:rFonts w:ascii="Arial" w:hAnsi="Arial" w:cs="Arial"/>
        </w:rPr>
        <w:t xml:space="preserve"> u iznosu od </w:t>
      </w:r>
      <w:r w:rsidR="00635E45">
        <w:rPr>
          <w:rFonts w:ascii="Arial" w:hAnsi="Arial" w:cs="Arial"/>
        </w:rPr>
        <w:t>242.974,15</w:t>
      </w:r>
      <w:r w:rsidR="008931B0">
        <w:rPr>
          <w:rFonts w:ascii="Arial" w:hAnsi="Arial" w:cs="Arial"/>
        </w:rPr>
        <w:t xml:space="preserve"> </w:t>
      </w:r>
      <w:r w:rsidR="005813DA">
        <w:rPr>
          <w:rFonts w:ascii="Arial" w:hAnsi="Arial" w:cs="Arial"/>
        </w:rPr>
        <w:t>€</w:t>
      </w:r>
      <w:r w:rsidR="008931B0">
        <w:rPr>
          <w:rFonts w:ascii="Arial" w:hAnsi="Arial" w:cs="Arial"/>
        </w:rPr>
        <w:t>,</w:t>
      </w:r>
      <w:r w:rsidR="005813DA">
        <w:rPr>
          <w:rFonts w:ascii="Arial" w:hAnsi="Arial" w:cs="Arial"/>
        </w:rPr>
        <w:t xml:space="preserve"> </w:t>
      </w:r>
      <w:r w:rsidR="005D748E">
        <w:rPr>
          <w:rFonts w:ascii="Arial" w:hAnsi="Arial" w:cs="Arial"/>
        </w:rPr>
        <w:t>vlastiti</w:t>
      </w:r>
      <w:r w:rsidR="00635E45">
        <w:rPr>
          <w:rFonts w:ascii="Arial" w:hAnsi="Arial" w:cs="Arial"/>
        </w:rPr>
        <w:t>h prihoda 38.774,07</w:t>
      </w:r>
      <w:r w:rsidR="005813DA">
        <w:rPr>
          <w:rFonts w:ascii="Arial" w:hAnsi="Arial" w:cs="Arial"/>
        </w:rPr>
        <w:t xml:space="preserve"> €</w:t>
      </w:r>
      <w:r w:rsidR="008931B0">
        <w:rPr>
          <w:rFonts w:ascii="Arial" w:hAnsi="Arial" w:cs="Arial"/>
        </w:rPr>
        <w:t xml:space="preserve"> i prihoda od pomoći</w:t>
      </w:r>
      <w:r w:rsidR="00FD0754">
        <w:rPr>
          <w:rFonts w:ascii="Arial" w:hAnsi="Arial" w:cs="Arial"/>
        </w:rPr>
        <w:t xml:space="preserve"> proračunskim korisnicima iz proračuna koji im nije nadležan, konkretno od Ministarstva prostornog</w:t>
      </w:r>
      <w:r w:rsidR="005813DA">
        <w:rPr>
          <w:rFonts w:ascii="Arial" w:hAnsi="Arial" w:cs="Arial"/>
        </w:rPr>
        <w:t>a</w:t>
      </w:r>
      <w:r w:rsidR="00FD0754">
        <w:rPr>
          <w:rFonts w:ascii="Arial" w:hAnsi="Arial" w:cs="Arial"/>
        </w:rPr>
        <w:t xml:space="preserve"> uređenja,</w:t>
      </w:r>
      <w:r w:rsidR="005813DA">
        <w:rPr>
          <w:rFonts w:ascii="Arial" w:hAnsi="Arial" w:cs="Arial"/>
        </w:rPr>
        <w:t xml:space="preserve"> </w:t>
      </w:r>
      <w:r w:rsidR="00FD0754">
        <w:rPr>
          <w:rFonts w:ascii="Arial" w:hAnsi="Arial" w:cs="Arial"/>
        </w:rPr>
        <w:t>graditeljstva i držav</w:t>
      </w:r>
      <w:r w:rsidR="00635E45">
        <w:rPr>
          <w:rFonts w:ascii="Arial" w:hAnsi="Arial" w:cs="Arial"/>
        </w:rPr>
        <w:t>ne imovine u iznosu od 22.051,54</w:t>
      </w:r>
      <w:r w:rsidR="00FD0754">
        <w:rPr>
          <w:rFonts w:ascii="Arial" w:hAnsi="Arial" w:cs="Arial"/>
        </w:rPr>
        <w:t xml:space="preserve"> </w:t>
      </w:r>
      <w:r w:rsidR="005813DA">
        <w:rPr>
          <w:rFonts w:ascii="Arial" w:hAnsi="Arial" w:cs="Arial"/>
        </w:rPr>
        <w:t>€</w:t>
      </w:r>
      <w:r w:rsidR="00FD0754">
        <w:rPr>
          <w:rFonts w:ascii="Arial" w:hAnsi="Arial" w:cs="Arial"/>
        </w:rPr>
        <w:t>.</w:t>
      </w:r>
    </w:p>
    <w:p w14:paraId="1E6D4BDE" w14:textId="6456F751" w:rsidR="00635E45" w:rsidRPr="00906B43" w:rsidRDefault="00635E45" w:rsidP="0060112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Najveće povećanje u odnosu na prethodnu godinu bilježe vlastiti prihodi i to za čak 85,82%,</w:t>
      </w:r>
      <w:r w:rsidR="005813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 prihodi od pomoći bilježe pad za čak 63,43%.</w:t>
      </w:r>
    </w:p>
    <w:p w14:paraId="620442BC" w14:textId="77777777" w:rsidR="00442BDE" w:rsidRDefault="00442BDE" w:rsidP="00906B43">
      <w:pPr>
        <w:spacing w:after="0" w:line="240" w:lineRule="auto"/>
        <w:jc w:val="both"/>
        <w:rPr>
          <w:rFonts w:ascii="Arial" w:hAnsi="Arial" w:cs="Arial"/>
          <w:bCs/>
        </w:rPr>
      </w:pPr>
    </w:p>
    <w:p w14:paraId="58812440" w14:textId="77777777" w:rsidR="00906B43" w:rsidRPr="00906B43" w:rsidRDefault="00906B43" w:rsidP="00906B43">
      <w:pPr>
        <w:spacing w:after="0" w:line="240" w:lineRule="auto"/>
        <w:jc w:val="both"/>
        <w:rPr>
          <w:rFonts w:ascii="Arial" w:hAnsi="Arial" w:cs="Arial"/>
          <w:bCs/>
        </w:rPr>
      </w:pPr>
    </w:p>
    <w:p w14:paraId="6D58920D" w14:textId="775ABC75" w:rsidR="000718EA" w:rsidRDefault="000718EA" w:rsidP="00906B4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06B43">
        <w:rPr>
          <w:rFonts w:ascii="Arial" w:hAnsi="Arial" w:cs="Arial"/>
          <w:b/>
          <w:bCs/>
        </w:rPr>
        <w:t>3.</w:t>
      </w:r>
      <w:r w:rsidR="005813DA">
        <w:rPr>
          <w:rFonts w:ascii="Arial" w:hAnsi="Arial" w:cs="Arial"/>
          <w:b/>
          <w:bCs/>
        </w:rPr>
        <w:t xml:space="preserve"> </w:t>
      </w:r>
      <w:r w:rsidR="00D715F8" w:rsidRPr="00906B43">
        <w:rPr>
          <w:rFonts w:ascii="Arial" w:hAnsi="Arial" w:cs="Arial"/>
          <w:b/>
          <w:bCs/>
        </w:rPr>
        <w:t xml:space="preserve">RASHODI I IZDACI </w:t>
      </w:r>
    </w:p>
    <w:p w14:paraId="79E7DEA7" w14:textId="77777777" w:rsidR="00DF78F2" w:rsidRPr="00906B43" w:rsidRDefault="00DF78F2" w:rsidP="00906B43">
      <w:pPr>
        <w:spacing w:after="0" w:line="240" w:lineRule="auto"/>
        <w:jc w:val="both"/>
        <w:rPr>
          <w:rFonts w:ascii="Arial" w:hAnsi="Arial" w:cs="Arial"/>
          <w:bCs/>
        </w:rPr>
      </w:pPr>
    </w:p>
    <w:p w14:paraId="4F559617" w14:textId="6BC6EA9A" w:rsidR="00442BDE" w:rsidRPr="00906B43" w:rsidRDefault="00FD0754" w:rsidP="00442B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D748E">
        <w:rPr>
          <w:rFonts w:ascii="Arial" w:hAnsi="Arial" w:cs="Arial"/>
        </w:rPr>
        <w:t xml:space="preserve"> </w:t>
      </w:r>
      <w:r w:rsidR="00635E45">
        <w:rPr>
          <w:rFonts w:ascii="Arial" w:hAnsi="Arial" w:cs="Arial"/>
        </w:rPr>
        <w:t>2025</w:t>
      </w:r>
      <w:r>
        <w:rPr>
          <w:rFonts w:ascii="Arial" w:hAnsi="Arial" w:cs="Arial"/>
        </w:rPr>
        <w:t>. godini</w:t>
      </w:r>
      <w:r w:rsidR="00442BDE" w:rsidRPr="00906B43">
        <w:rPr>
          <w:rFonts w:ascii="Arial" w:hAnsi="Arial" w:cs="Arial"/>
        </w:rPr>
        <w:t xml:space="preserve"> ukupni rashodi i izdaci izvršeni su u iznosu od </w:t>
      </w:r>
      <w:r w:rsidR="00635E45">
        <w:rPr>
          <w:rFonts w:ascii="Arial" w:hAnsi="Arial" w:cs="Arial"/>
        </w:rPr>
        <w:t>335.750,94</w:t>
      </w:r>
      <w:r w:rsidR="0092500E" w:rsidRPr="00906B43">
        <w:rPr>
          <w:rFonts w:ascii="Arial" w:hAnsi="Arial" w:cs="Arial"/>
        </w:rPr>
        <w:t xml:space="preserve"> </w:t>
      </w:r>
      <w:r w:rsidR="005813DA">
        <w:rPr>
          <w:rFonts w:ascii="Arial" w:hAnsi="Arial" w:cs="Arial"/>
        </w:rPr>
        <w:t>€</w:t>
      </w:r>
      <w:r w:rsidR="00442BDE" w:rsidRPr="00906B43">
        <w:rPr>
          <w:rFonts w:ascii="Arial" w:hAnsi="Arial" w:cs="Arial"/>
        </w:rPr>
        <w:t xml:space="preserve">, što čini </w:t>
      </w:r>
      <w:r w:rsidR="00635E45">
        <w:rPr>
          <w:rFonts w:ascii="Arial" w:hAnsi="Arial" w:cs="Arial"/>
        </w:rPr>
        <w:t>97,88</w:t>
      </w:r>
      <w:r w:rsidR="00442BDE" w:rsidRPr="00906B43">
        <w:rPr>
          <w:rFonts w:ascii="Arial" w:hAnsi="Arial" w:cs="Arial"/>
        </w:rPr>
        <w:t>% godišnjeg plana.</w:t>
      </w:r>
    </w:p>
    <w:p w14:paraId="216BE013" w14:textId="4B45BA3C" w:rsidR="007E1BD5" w:rsidRPr="00906B43" w:rsidRDefault="00FD0754" w:rsidP="00B024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72DE0">
        <w:rPr>
          <w:rFonts w:ascii="Arial" w:hAnsi="Arial" w:cs="Arial"/>
        </w:rPr>
        <w:t>ealizirani rashodi u izvještajnom razdoblju odnose se na rashode poslovanja</w:t>
      </w:r>
      <w:r w:rsidR="00635E45">
        <w:rPr>
          <w:rFonts w:ascii="Arial" w:hAnsi="Arial" w:cs="Arial"/>
        </w:rPr>
        <w:t xml:space="preserve"> u iznosu od 331.272,20</w:t>
      </w:r>
      <w:r>
        <w:rPr>
          <w:rFonts w:ascii="Arial" w:hAnsi="Arial" w:cs="Arial"/>
        </w:rPr>
        <w:t xml:space="preserve"> </w:t>
      </w:r>
      <w:r w:rsidR="005813DA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i rashode za nabavu nefinancijs</w:t>
      </w:r>
      <w:r w:rsidR="00635E45">
        <w:rPr>
          <w:rFonts w:ascii="Arial" w:hAnsi="Arial" w:cs="Arial"/>
        </w:rPr>
        <w:t>ke imovine u iznosu od 4.478,74</w:t>
      </w:r>
      <w:r>
        <w:rPr>
          <w:rFonts w:ascii="Arial" w:hAnsi="Arial" w:cs="Arial"/>
        </w:rPr>
        <w:t xml:space="preserve"> </w:t>
      </w:r>
      <w:r w:rsidR="005813DA">
        <w:rPr>
          <w:rFonts w:ascii="Arial" w:hAnsi="Arial" w:cs="Arial"/>
        </w:rPr>
        <w:t>€</w:t>
      </w:r>
      <w:r>
        <w:rPr>
          <w:rFonts w:ascii="Arial" w:hAnsi="Arial" w:cs="Arial"/>
        </w:rPr>
        <w:t>.</w:t>
      </w:r>
    </w:p>
    <w:p w14:paraId="42800C13" w14:textId="48CC956A" w:rsidR="00D304AB" w:rsidRPr="00906B43" w:rsidRDefault="00D304AB" w:rsidP="00D304AB">
      <w:pPr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Rashodi za zap</w:t>
      </w:r>
      <w:r w:rsidR="00D2575A" w:rsidRPr="00906B43">
        <w:rPr>
          <w:rFonts w:ascii="Arial" w:hAnsi="Arial" w:cs="Arial"/>
        </w:rPr>
        <w:t xml:space="preserve">oslene </w:t>
      </w:r>
      <w:r w:rsidR="00FD0754">
        <w:rPr>
          <w:rFonts w:ascii="Arial" w:hAnsi="Arial" w:cs="Arial"/>
        </w:rPr>
        <w:t xml:space="preserve"> ost</w:t>
      </w:r>
      <w:r w:rsidR="00635E45">
        <w:rPr>
          <w:rFonts w:ascii="Arial" w:hAnsi="Arial" w:cs="Arial"/>
        </w:rPr>
        <w:t>vareni su u iznosu od 263.867,75</w:t>
      </w:r>
      <w:r w:rsidR="00251CD9" w:rsidRPr="00906B43">
        <w:rPr>
          <w:rFonts w:ascii="Arial" w:hAnsi="Arial" w:cs="Arial"/>
        </w:rPr>
        <w:t xml:space="preserve"> </w:t>
      </w:r>
      <w:r w:rsidR="005D036F">
        <w:rPr>
          <w:rFonts w:ascii="Arial" w:hAnsi="Arial" w:cs="Arial"/>
        </w:rPr>
        <w:t>€</w:t>
      </w:r>
      <w:r w:rsidR="003A51D6">
        <w:rPr>
          <w:rFonts w:ascii="Arial" w:hAnsi="Arial" w:cs="Arial"/>
        </w:rPr>
        <w:t>, što čini 97,85</w:t>
      </w:r>
      <w:r w:rsidRPr="00906B43">
        <w:rPr>
          <w:rFonts w:ascii="Arial" w:hAnsi="Arial" w:cs="Arial"/>
        </w:rPr>
        <w:t xml:space="preserve">% </w:t>
      </w:r>
      <w:r w:rsidR="0058684B" w:rsidRPr="00906B43">
        <w:rPr>
          <w:rFonts w:ascii="Arial" w:hAnsi="Arial" w:cs="Arial"/>
        </w:rPr>
        <w:t xml:space="preserve">godišnjeg </w:t>
      </w:r>
      <w:r w:rsidRPr="00906B43">
        <w:rPr>
          <w:rFonts w:ascii="Arial" w:hAnsi="Arial" w:cs="Arial"/>
        </w:rPr>
        <w:t>plana</w:t>
      </w:r>
      <w:r w:rsidR="00521947" w:rsidRPr="00906B43">
        <w:rPr>
          <w:rFonts w:ascii="Arial" w:hAnsi="Arial" w:cs="Arial"/>
        </w:rPr>
        <w:t xml:space="preserve">, a u ukupnim rashodima i izdacima </w:t>
      </w:r>
      <w:r w:rsidR="00635E45">
        <w:rPr>
          <w:rFonts w:ascii="Arial" w:hAnsi="Arial" w:cs="Arial"/>
        </w:rPr>
        <w:t>učestvuju s 78,59</w:t>
      </w:r>
      <w:r w:rsidR="00521947" w:rsidRPr="00906B43">
        <w:rPr>
          <w:rFonts w:ascii="Arial" w:hAnsi="Arial" w:cs="Arial"/>
        </w:rPr>
        <w:t xml:space="preserve"> %.</w:t>
      </w:r>
      <w:r w:rsidRPr="00906B43">
        <w:rPr>
          <w:rFonts w:ascii="Arial" w:hAnsi="Arial" w:cs="Arial"/>
        </w:rPr>
        <w:t xml:space="preserve"> </w:t>
      </w:r>
    </w:p>
    <w:p w14:paraId="455C0035" w14:textId="546E4111" w:rsidR="00407609" w:rsidRDefault="00D304AB" w:rsidP="00D304AB">
      <w:pPr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Materijalni rashodi izvršeni su u iznosu od </w:t>
      </w:r>
      <w:r w:rsidR="003A51D6">
        <w:rPr>
          <w:rFonts w:ascii="Arial" w:hAnsi="Arial" w:cs="Arial"/>
        </w:rPr>
        <w:t>67.044,11</w:t>
      </w:r>
      <w:r w:rsidR="00251CD9" w:rsidRPr="00906B43">
        <w:rPr>
          <w:rFonts w:ascii="Arial" w:hAnsi="Arial" w:cs="Arial"/>
        </w:rPr>
        <w:t xml:space="preserve"> </w:t>
      </w:r>
      <w:r w:rsidR="005D036F">
        <w:rPr>
          <w:rFonts w:ascii="Arial" w:hAnsi="Arial" w:cs="Arial"/>
        </w:rPr>
        <w:t>€</w:t>
      </w:r>
      <w:r w:rsidRPr="00906B43">
        <w:rPr>
          <w:rFonts w:ascii="Arial" w:hAnsi="Arial" w:cs="Arial"/>
        </w:rPr>
        <w:t xml:space="preserve"> odnosno </w:t>
      </w:r>
      <w:r w:rsidR="003A51D6">
        <w:rPr>
          <w:rFonts w:ascii="Arial" w:hAnsi="Arial" w:cs="Arial"/>
        </w:rPr>
        <w:t>98,03</w:t>
      </w:r>
      <w:r w:rsidR="00251CD9" w:rsidRPr="00906B43">
        <w:rPr>
          <w:rFonts w:ascii="Arial" w:hAnsi="Arial" w:cs="Arial"/>
        </w:rPr>
        <w:t>%</w:t>
      </w:r>
      <w:r w:rsidRPr="00906B43">
        <w:rPr>
          <w:rFonts w:ascii="Arial" w:hAnsi="Arial" w:cs="Arial"/>
        </w:rPr>
        <w:t xml:space="preserve"> od planiranog godišnjeg iznosa, a u ukupnim rashodima i izdacima sudjeluju s </w:t>
      </w:r>
      <w:r w:rsidR="003A51D6">
        <w:rPr>
          <w:rFonts w:ascii="Arial" w:hAnsi="Arial" w:cs="Arial"/>
        </w:rPr>
        <w:t>19,97</w:t>
      </w:r>
      <w:r w:rsidRPr="00906B43">
        <w:rPr>
          <w:rFonts w:ascii="Arial" w:hAnsi="Arial" w:cs="Arial"/>
        </w:rPr>
        <w:t xml:space="preserve">%. </w:t>
      </w:r>
    </w:p>
    <w:p w14:paraId="7580B9C8" w14:textId="1F839C7A" w:rsidR="00FD0754" w:rsidRPr="00906B43" w:rsidRDefault="005D036F" w:rsidP="00D304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Materijaln</w:t>
      </w:r>
      <w:r w:rsidR="003A51D6">
        <w:rPr>
          <w:rFonts w:ascii="Arial" w:hAnsi="Arial" w:cs="Arial"/>
        </w:rPr>
        <w:t xml:space="preserve">i rashodi realizirani su s 98,03% u odnosu na plan što znači da odstupanje iznosi svega 1,97%. Najveće odstupanje odnosi se na ostale rashode za zaposlene i iznosi 5.559,00 </w:t>
      </w:r>
      <w:r>
        <w:rPr>
          <w:rFonts w:ascii="Arial" w:hAnsi="Arial" w:cs="Arial"/>
        </w:rPr>
        <w:t xml:space="preserve">€ </w:t>
      </w:r>
      <w:r w:rsidR="003A51D6">
        <w:rPr>
          <w:rFonts w:ascii="Arial" w:hAnsi="Arial" w:cs="Arial"/>
        </w:rPr>
        <w:t>jer nisu isplaćene sve planirane neoporezive naknade zaposlenima.</w:t>
      </w:r>
    </w:p>
    <w:p w14:paraId="66642743" w14:textId="594A8E62" w:rsidR="00216C5F" w:rsidRPr="00906B43" w:rsidRDefault="00216C5F" w:rsidP="00216C5F">
      <w:pPr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Financijski rashod</w:t>
      </w:r>
      <w:r w:rsidR="00463A2C">
        <w:rPr>
          <w:rFonts w:ascii="Arial" w:hAnsi="Arial" w:cs="Arial"/>
        </w:rPr>
        <w:t xml:space="preserve">i izvršeni su u iznosu od 360,34 </w:t>
      </w:r>
      <w:r w:rsidR="005D036F">
        <w:rPr>
          <w:rFonts w:ascii="Arial" w:hAnsi="Arial" w:cs="Arial"/>
        </w:rPr>
        <w:t>€</w:t>
      </w:r>
      <w:r w:rsidR="00463A2C">
        <w:rPr>
          <w:rFonts w:ascii="Arial" w:hAnsi="Arial" w:cs="Arial"/>
        </w:rPr>
        <w:t xml:space="preserve"> odnosno 100,00</w:t>
      </w:r>
      <w:r w:rsidRPr="00906B43">
        <w:rPr>
          <w:rFonts w:ascii="Arial" w:hAnsi="Arial" w:cs="Arial"/>
        </w:rPr>
        <w:t>% od planiranog go</w:t>
      </w:r>
      <w:r w:rsidR="00463A2C">
        <w:rPr>
          <w:rFonts w:ascii="Arial" w:hAnsi="Arial" w:cs="Arial"/>
        </w:rPr>
        <w:t>dišnjeg iznosa, a u cijelosti se odnose na naknade za platni promet.</w:t>
      </w:r>
      <w:r w:rsidRPr="00906B43">
        <w:rPr>
          <w:rFonts w:ascii="Arial" w:hAnsi="Arial" w:cs="Arial"/>
        </w:rPr>
        <w:t xml:space="preserve"> </w:t>
      </w:r>
    </w:p>
    <w:p w14:paraId="2B432E0D" w14:textId="5BC8347E" w:rsidR="00BA2D8C" w:rsidRPr="00906B43" w:rsidRDefault="008143BB" w:rsidP="00FE2AF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72DE0">
        <w:rPr>
          <w:rFonts w:ascii="Arial" w:hAnsi="Arial" w:cs="Arial"/>
        </w:rPr>
        <w:t xml:space="preserve">ashodi </w:t>
      </w:r>
      <w:r>
        <w:rPr>
          <w:rFonts w:ascii="Arial" w:hAnsi="Arial" w:cs="Arial"/>
        </w:rPr>
        <w:t>za nabavu nefinancijske</w:t>
      </w:r>
      <w:r w:rsidR="00463A2C">
        <w:rPr>
          <w:rFonts w:ascii="Arial" w:hAnsi="Arial" w:cs="Arial"/>
        </w:rPr>
        <w:t xml:space="preserve"> imovine realizirani su s 96,86</w:t>
      </w:r>
      <w:r>
        <w:rPr>
          <w:rFonts w:ascii="Arial" w:hAnsi="Arial" w:cs="Arial"/>
        </w:rPr>
        <w:t xml:space="preserve">% u </w:t>
      </w:r>
      <w:r w:rsidR="00AB652C">
        <w:rPr>
          <w:rFonts w:ascii="Arial" w:hAnsi="Arial" w:cs="Arial"/>
        </w:rPr>
        <w:t>odnosu na plan. Nabavljen je dron vrijednosti 939,99</w:t>
      </w:r>
      <w:r w:rsidR="005D036F">
        <w:rPr>
          <w:rFonts w:ascii="Arial" w:hAnsi="Arial" w:cs="Arial"/>
        </w:rPr>
        <w:t xml:space="preserve"> €</w:t>
      </w:r>
      <w:r w:rsidR="00AB652C">
        <w:rPr>
          <w:rFonts w:ascii="Arial" w:hAnsi="Arial" w:cs="Arial"/>
        </w:rPr>
        <w:t>,</w:t>
      </w:r>
      <w:r w:rsidR="005D036F">
        <w:rPr>
          <w:rFonts w:ascii="Arial" w:hAnsi="Arial" w:cs="Arial"/>
        </w:rPr>
        <w:t xml:space="preserve"> </w:t>
      </w:r>
      <w:r w:rsidR="00AB652C">
        <w:rPr>
          <w:rFonts w:ascii="Arial" w:hAnsi="Arial" w:cs="Arial"/>
        </w:rPr>
        <w:t>računalo Asus vrijednosti 1</w:t>
      </w:r>
      <w:r w:rsidR="005D036F">
        <w:rPr>
          <w:rFonts w:ascii="Arial" w:hAnsi="Arial" w:cs="Arial"/>
        </w:rPr>
        <w:t>.</w:t>
      </w:r>
      <w:r w:rsidR="00AB652C">
        <w:rPr>
          <w:rFonts w:ascii="Arial" w:hAnsi="Arial" w:cs="Arial"/>
        </w:rPr>
        <w:t xml:space="preserve">713,75 </w:t>
      </w:r>
      <w:r w:rsidR="005D036F">
        <w:rPr>
          <w:rFonts w:ascii="Arial" w:hAnsi="Arial" w:cs="Arial"/>
        </w:rPr>
        <w:t>€</w:t>
      </w:r>
      <w:r w:rsidR="00AB652C">
        <w:rPr>
          <w:rFonts w:ascii="Arial" w:hAnsi="Arial" w:cs="Arial"/>
        </w:rPr>
        <w:t xml:space="preserve"> i printer vrijednosti 1.825,00 </w:t>
      </w:r>
      <w:r w:rsidR="005D036F">
        <w:rPr>
          <w:rFonts w:ascii="Arial" w:hAnsi="Arial" w:cs="Arial"/>
        </w:rPr>
        <w:t>€</w:t>
      </w:r>
      <w:r w:rsidR="00AB652C">
        <w:rPr>
          <w:rFonts w:ascii="Arial" w:hAnsi="Arial" w:cs="Arial"/>
        </w:rPr>
        <w:t>. Sva nefinancijska imovina nabavljena je iz sredstava pomoći.</w:t>
      </w:r>
    </w:p>
    <w:p w14:paraId="4B4A741A" w14:textId="77777777" w:rsidR="00251CD9" w:rsidRDefault="00251CD9" w:rsidP="00FE2AF5">
      <w:pPr>
        <w:spacing w:after="0"/>
        <w:jc w:val="both"/>
        <w:rPr>
          <w:rFonts w:ascii="Arial" w:hAnsi="Arial" w:cs="Arial"/>
        </w:rPr>
      </w:pPr>
    </w:p>
    <w:p w14:paraId="0254D8F3" w14:textId="2A0DF41B" w:rsidR="00F72DE0" w:rsidRDefault="00AB652C" w:rsidP="00FE2AF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 je manjak </w:t>
      </w:r>
      <w:r w:rsidR="00F72DE0">
        <w:rPr>
          <w:rFonts w:ascii="Arial" w:hAnsi="Arial" w:cs="Arial"/>
        </w:rPr>
        <w:t xml:space="preserve"> prihoda u</w:t>
      </w:r>
      <w:r>
        <w:rPr>
          <w:rFonts w:ascii="Arial" w:hAnsi="Arial" w:cs="Arial"/>
        </w:rPr>
        <w:t xml:space="preserve"> iznosu od 31.951,18</w:t>
      </w:r>
      <w:r w:rsidR="008143BB">
        <w:rPr>
          <w:rFonts w:ascii="Arial" w:hAnsi="Arial" w:cs="Arial"/>
        </w:rPr>
        <w:t xml:space="preserve"> </w:t>
      </w:r>
      <w:r w:rsidR="005D036F">
        <w:rPr>
          <w:rFonts w:ascii="Arial" w:hAnsi="Arial" w:cs="Arial"/>
        </w:rPr>
        <w:t>€</w:t>
      </w:r>
      <w:r>
        <w:rPr>
          <w:rFonts w:ascii="Arial" w:hAnsi="Arial" w:cs="Arial"/>
        </w:rPr>
        <w:t>, a iz</w:t>
      </w:r>
      <w:r w:rsidR="008143BB">
        <w:rPr>
          <w:rFonts w:ascii="Arial" w:hAnsi="Arial" w:cs="Arial"/>
        </w:rPr>
        <w:t xml:space="preserve"> prethodnog razdoblja prenesen</w:t>
      </w:r>
      <w:r>
        <w:rPr>
          <w:rFonts w:ascii="Arial" w:hAnsi="Arial" w:cs="Arial"/>
        </w:rPr>
        <w:t>i je višak u iznosu od 81.261,23</w:t>
      </w:r>
      <w:r w:rsidR="008143BB">
        <w:rPr>
          <w:rFonts w:ascii="Arial" w:hAnsi="Arial" w:cs="Arial"/>
        </w:rPr>
        <w:t xml:space="preserve"> </w:t>
      </w:r>
      <w:r w:rsidR="005D036F">
        <w:rPr>
          <w:rFonts w:ascii="Arial" w:hAnsi="Arial" w:cs="Arial"/>
        </w:rPr>
        <w:t>€</w:t>
      </w:r>
      <w:r w:rsidR="008143BB">
        <w:rPr>
          <w:rFonts w:ascii="Arial" w:hAnsi="Arial" w:cs="Arial"/>
        </w:rPr>
        <w:t xml:space="preserve"> tako da je u slijedećem razdoblju raspoloživ višak prihoda i</w:t>
      </w:r>
      <w:r>
        <w:rPr>
          <w:rFonts w:ascii="Arial" w:hAnsi="Arial" w:cs="Arial"/>
        </w:rPr>
        <w:t xml:space="preserve"> primitaka u iznosu od 49.310,05</w:t>
      </w:r>
      <w:r w:rsidR="008143BB">
        <w:rPr>
          <w:rFonts w:ascii="Arial" w:hAnsi="Arial" w:cs="Arial"/>
        </w:rPr>
        <w:t xml:space="preserve"> </w:t>
      </w:r>
      <w:r w:rsidR="005D036F">
        <w:rPr>
          <w:rFonts w:ascii="Arial" w:hAnsi="Arial" w:cs="Arial"/>
        </w:rPr>
        <w:t>€</w:t>
      </w:r>
      <w:r w:rsidR="008143BB">
        <w:rPr>
          <w:rFonts w:ascii="Arial" w:hAnsi="Arial" w:cs="Arial"/>
        </w:rPr>
        <w:t>.</w:t>
      </w:r>
    </w:p>
    <w:p w14:paraId="0C138B0B" w14:textId="0D30C57E" w:rsidR="001C0DB8" w:rsidRDefault="001C0DB8" w:rsidP="00FE2AF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Prema izvorima financiranja –</w:t>
      </w:r>
      <w:r w:rsidR="005D03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izvor financiranja 11 Opći prihodi i primici ostvaren je manjak prihoda u iznosu od 22.638,97 </w:t>
      </w:r>
      <w:r w:rsidR="005D036F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iz razloga što je sukladno zakonskim propisima u rashode knjižena plaća za 12</w:t>
      </w:r>
      <w:r w:rsidR="00B31B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mjesec 2025.</w:t>
      </w:r>
      <w:r w:rsidR="00B31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godine, a ista je isplaćena u prvom mjesecu 2026.</w:t>
      </w:r>
      <w:r w:rsidR="00B31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godine.</w:t>
      </w:r>
    </w:p>
    <w:p w14:paraId="64C9D147" w14:textId="116BC8E1" w:rsidR="001C0DB8" w:rsidRDefault="001C0DB8" w:rsidP="00FE2AF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 izvoru 52</w:t>
      </w:r>
      <w:r w:rsidR="00B31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B31BF1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stale pomoći također je ostvaren manjak prihoda u iznosu od 15.967,26 </w:t>
      </w:r>
      <w:r w:rsidR="00B31BF1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, ali je iz prethodne godine preneseni višak po ovom izvoru u iznosu od 78.094,10 </w:t>
      </w:r>
      <w:r w:rsidR="00B31BF1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, tako da </w:t>
      </w:r>
    </w:p>
    <w:p w14:paraId="2D6E8F0A" w14:textId="6CFF2492" w:rsidR="001C0DB8" w:rsidRDefault="000E44DF" w:rsidP="00FE2AF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1C0DB8">
        <w:rPr>
          <w:rFonts w:ascii="Arial" w:hAnsi="Arial" w:cs="Arial"/>
        </w:rPr>
        <w:t xml:space="preserve">e po izvoru 52 raspoloživ višak prihoda u iznosu od 62.126,84 </w:t>
      </w:r>
      <w:r w:rsidR="00B31BF1">
        <w:rPr>
          <w:rFonts w:ascii="Arial" w:hAnsi="Arial" w:cs="Arial"/>
        </w:rPr>
        <w:t>€</w:t>
      </w:r>
      <w:r w:rsidR="001C0DB8">
        <w:rPr>
          <w:rFonts w:ascii="Arial" w:hAnsi="Arial" w:cs="Arial"/>
        </w:rPr>
        <w:t xml:space="preserve">. Radi se o namjenskim sredstvima dobivenim za izradu Krajobrazne </w:t>
      </w:r>
      <w:r w:rsidR="002E044C">
        <w:rPr>
          <w:rFonts w:ascii="Arial" w:hAnsi="Arial" w:cs="Arial"/>
        </w:rPr>
        <w:t>osnove</w:t>
      </w:r>
      <w:r w:rsidR="00B31BF1">
        <w:rPr>
          <w:rFonts w:ascii="Arial" w:hAnsi="Arial" w:cs="Arial"/>
        </w:rPr>
        <w:t xml:space="preserve"> Međimurske županije</w:t>
      </w:r>
      <w:r w:rsidR="002E044C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Prostornog plana Međimurske županije</w:t>
      </w:r>
      <w:r w:rsidR="00B31BF1">
        <w:rPr>
          <w:rFonts w:ascii="Arial" w:hAnsi="Arial" w:cs="Arial"/>
        </w:rPr>
        <w:t xml:space="preserve"> nove generacije</w:t>
      </w:r>
      <w:r>
        <w:rPr>
          <w:rFonts w:ascii="Arial" w:hAnsi="Arial" w:cs="Arial"/>
        </w:rPr>
        <w:t>.</w:t>
      </w:r>
    </w:p>
    <w:p w14:paraId="3449FB31" w14:textId="77777777" w:rsidR="00F46EED" w:rsidRDefault="000E44DF" w:rsidP="00FE2AF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 izvoru 31</w:t>
      </w:r>
      <w:r w:rsidR="00B31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B31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Vlastiti prihodi realiziran je višak prihoda u iznosu od 6.655,05 </w:t>
      </w:r>
      <w:r w:rsidR="00B31BF1">
        <w:rPr>
          <w:rFonts w:ascii="Arial" w:hAnsi="Arial" w:cs="Arial"/>
        </w:rPr>
        <w:t>€</w:t>
      </w:r>
      <w:r>
        <w:rPr>
          <w:rFonts w:ascii="Arial" w:hAnsi="Arial" w:cs="Arial"/>
        </w:rPr>
        <w:t>,</w:t>
      </w:r>
      <w:r w:rsidR="00D95ACC">
        <w:rPr>
          <w:rFonts w:ascii="Arial" w:hAnsi="Arial" w:cs="Arial"/>
        </w:rPr>
        <w:t xml:space="preserve"> </w:t>
      </w:r>
    </w:p>
    <w:p w14:paraId="05723FAA" w14:textId="54FACAFC" w:rsidR="000E44DF" w:rsidRDefault="000E44DF" w:rsidP="00FE2AF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iz prethodnog razdoblja prenesen je višak u iznosu od 3.167,30 </w:t>
      </w:r>
      <w:r w:rsidR="00B31BF1">
        <w:rPr>
          <w:rFonts w:ascii="Arial" w:hAnsi="Arial" w:cs="Arial"/>
        </w:rPr>
        <w:t>€</w:t>
      </w:r>
      <w:r>
        <w:rPr>
          <w:rFonts w:ascii="Arial" w:hAnsi="Arial" w:cs="Arial"/>
        </w:rPr>
        <w:t>.</w:t>
      </w:r>
    </w:p>
    <w:p w14:paraId="0B0105BF" w14:textId="77777777" w:rsidR="000E44DF" w:rsidRDefault="000E44DF" w:rsidP="00FE2AF5">
      <w:pPr>
        <w:spacing w:after="0"/>
        <w:jc w:val="both"/>
        <w:rPr>
          <w:rFonts w:ascii="Arial" w:hAnsi="Arial" w:cs="Arial"/>
        </w:rPr>
      </w:pPr>
    </w:p>
    <w:p w14:paraId="3CE8AF4A" w14:textId="3EBAC164" w:rsidR="00E3144F" w:rsidRDefault="00E3144F" w:rsidP="00201A63">
      <w:pPr>
        <w:spacing w:after="0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Stanje novčanih sredstva Zavoda na poče</w:t>
      </w:r>
      <w:r w:rsidR="00F72DE0">
        <w:rPr>
          <w:rFonts w:ascii="Arial" w:hAnsi="Arial" w:cs="Arial"/>
        </w:rPr>
        <w:t>tku</w:t>
      </w:r>
      <w:r w:rsidR="000E44DF">
        <w:rPr>
          <w:rFonts w:ascii="Arial" w:hAnsi="Arial" w:cs="Arial"/>
        </w:rPr>
        <w:t xml:space="preserve"> razdoblja iznosilo je 81.850,75</w:t>
      </w:r>
      <w:r w:rsidRPr="00906B43">
        <w:rPr>
          <w:rFonts w:ascii="Arial" w:hAnsi="Arial" w:cs="Arial"/>
        </w:rPr>
        <w:t xml:space="preserve"> </w:t>
      </w:r>
      <w:r w:rsidR="00B31BF1">
        <w:rPr>
          <w:rFonts w:ascii="Arial" w:hAnsi="Arial" w:cs="Arial"/>
        </w:rPr>
        <w:t>€</w:t>
      </w:r>
      <w:r w:rsidRPr="00906B43">
        <w:rPr>
          <w:rFonts w:ascii="Arial" w:hAnsi="Arial" w:cs="Arial"/>
        </w:rPr>
        <w:t>, a n</w:t>
      </w:r>
      <w:r w:rsidR="009429FF">
        <w:rPr>
          <w:rFonts w:ascii="Arial" w:hAnsi="Arial" w:cs="Arial"/>
        </w:rPr>
        <w:t>a dan 31.12</w:t>
      </w:r>
      <w:r w:rsidR="000E44DF">
        <w:rPr>
          <w:rFonts w:ascii="Arial" w:hAnsi="Arial" w:cs="Arial"/>
        </w:rPr>
        <w:t>.2025</w:t>
      </w:r>
      <w:r w:rsidR="00F72DE0">
        <w:rPr>
          <w:rFonts w:ascii="Arial" w:hAnsi="Arial" w:cs="Arial"/>
        </w:rPr>
        <w:t>.</w:t>
      </w:r>
      <w:r w:rsidR="00241F62">
        <w:rPr>
          <w:rFonts w:ascii="Arial" w:hAnsi="Arial" w:cs="Arial"/>
        </w:rPr>
        <w:t xml:space="preserve"> </w:t>
      </w:r>
      <w:r w:rsidR="00CF6184" w:rsidRPr="00906B43">
        <w:rPr>
          <w:rFonts w:ascii="Arial" w:hAnsi="Arial" w:cs="Arial"/>
        </w:rPr>
        <w:t>g</w:t>
      </w:r>
      <w:r w:rsidR="00241F62">
        <w:rPr>
          <w:rFonts w:ascii="Arial" w:hAnsi="Arial" w:cs="Arial"/>
        </w:rPr>
        <w:t>odine</w:t>
      </w:r>
      <w:r w:rsidR="000E44DF">
        <w:rPr>
          <w:rFonts w:ascii="Arial" w:hAnsi="Arial" w:cs="Arial"/>
        </w:rPr>
        <w:t xml:space="preserve"> iznosi 0, jer su sva novčana sredstva prebačena na objedinjeni račun Međimurske županije.</w:t>
      </w:r>
    </w:p>
    <w:p w14:paraId="45999062" w14:textId="768F8A19" w:rsidR="000E44DF" w:rsidRPr="00906B43" w:rsidRDefault="000E44DF" w:rsidP="00201A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dan 31.12.2025.</w:t>
      </w:r>
      <w:r w:rsidR="00B31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godine Zavod s osnove uplaćenih sredstava u proračun potražuje 69.117,91 </w:t>
      </w:r>
      <w:r w:rsidR="00B31BF1">
        <w:rPr>
          <w:rFonts w:ascii="Arial" w:hAnsi="Arial" w:cs="Arial"/>
        </w:rPr>
        <w:t>€</w:t>
      </w:r>
      <w:r>
        <w:rPr>
          <w:rFonts w:ascii="Arial" w:hAnsi="Arial" w:cs="Arial"/>
        </w:rPr>
        <w:t>.</w:t>
      </w:r>
    </w:p>
    <w:p w14:paraId="2F44EC06" w14:textId="77777777" w:rsidR="00FE2AF5" w:rsidRDefault="00FE2AF5" w:rsidP="00201A63">
      <w:pPr>
        <w:spacing w:after="0"/>
        <w:jc w:val="both"/>
        <w:rPr>
          <w:rFonts w:ascii="Arial" w:hAnsi="Arial" w:cs="Arial"/>
          <w:b/>
          <w:bCs/>
        </w:rPr>
      </w:pPr>
    </w:p>
    <w:p w14:paraId="021F75A7" w14:textId="77777777" w:rsidR="00201A63" w:rsidRDefault="00201A63" w:rsidP="00201A63">
      <w:pPr>
        <w:spacing w:after="0"/>
        <w:jc w:val="both"/>
        <w:rPr>
          <w:rFonts w:ascii="Arial" w:hAnsi="Arial" w:cs="Arial"/>
          <w:b/>
          <w:bCs/>
        </w:rPr>
      </w:pPr>
    </w:p>
    <w:p w14:paraId="0BF1487C" w14:textId="77777777" w:rsidR="00251CD9" w:rsidRPr="00DF78F2" w:rsidRDefault="00251CD9" w:rsidP="00251CD9">
      <w:pPr>
        <w:jc w:val="both"/>
        <w:rPr>
          <w:rFonts w:ascii="Arial" w:hAnsi="Arial" w:cs="Arial"/>
          <w:b/>
          <w:bCs/>
        </w:rPr>
      </w:pPr>
      <w:r w:rsidRPr="00DF78F2">
        <w:rPr>
          <w:rFonts w:ascii="Arial" w:hAnsi="Arial" w:cs="Arial"/>
          <w:b/>
          <w:bCs/>
        </w:rPr>
        <w:t xml:space="preserve">4. AKTIVNOSTI I PROJEKTI IZ POSEBNOG DIJELA FINANCIJSKOG PLANA </w:t>
      </w:r>
    </w:p>
    <w:p w14:paraId="42767519" w14:textId="77777777" w:rsidR="000464D1" w:rsidRPr="00DF78F2" w:rsidRDefault="000464D1" w:rsidP="00906B43">
      <w:pPr>
        <w:spacing w:after="60" w:line="276" w:lineRule="auto"/>
        <w:contextualSpacing/>
        <w:rPr>
          <w:rFonts w:ascii="Arial" w:eastAsia="Calibri" w:hAnsi="Arial" w:cs="Arial"/>
          <w:b/>
          <w:iCs/>
        </w:rPr>
      </w:pPr>
      <w:r w:rsidRPr="00DF78F2">
        <w:rPr>
          <w:rFonts w:ascii="Arial" w:eastAsia="Calibri" w:hAnsi="Arial" w:cs="Arial"/>
          <w:b/>
          <w:iCs/>
        </w:rPr>
        <w:t>Stručno i administrativno osoblje</w:t>
      </w:r>
    </w:p>
    <w:p w14:paraId="55770575" w14:textId="77777777" w:rsidR="000464D1" w:rsidRPr="00DF78F2" w:rsidRDefault="000464D1" w:rsidP="000464D1">
      <w:pPr>
        <w:spacing w:after="0"/>
        <w:ind w:firstLine="709"/>
        <w:jc w:val="both"/>
        <w:rPr>
          <w:rFonts w:ascii="Arial" w:hAnsi="Arial" w:cs="Arial"/>
        </w:rPr>
      </w:pPr>
    </w:p>
    <w:p w14:paraId="52192BB3" w14:textId="6DFD4ACD" w:rsidR="000464D1" w:rsidRDefault="000464D1" w:rsidP="008D6994">
      <w:pPr>
        <w:ind w:firstLine="709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>Zavod je u</w:t>
      </w:r>
      <w:r w:rsidR="00CF6184" w:rsidRPr="00DF78F2">
        <w:rPr>
          <w:rFonts w:ascii="Arial" w:hAnsi="Arial" w:cs="Arial"/>
        </w:rPr>
        <w:t xml:space="preserve"> </w:t>
      </w:r>
      <w:r w:rsidRPr="00DF78F2">
        <w:rPr>
          <w:rFonts w:ascii="Arial" w:hAnsi="Arial" w:cs="Arial"/>
        </w:rPr>
        <w:t xml:space="preserve"> 202</w:t>
      </w:r>
      <w:r w:rsidR="000E44DF">
        <w:rPr>
          <w:rFonts w:ascii="Arial" w:hAnsi="Arial" w:cs="Arial"/>
        </w:rPr>
        <w:t>5</w:t>
      </w:r>
      <w:r w:rsidRPr="00DF78F2">
        <w:rPr>
          <w:rFonts w:ascii="Arial" w:hAnsi="Arial" w:cs="Arial"/>
        </w:rPr>
        <w:t>. godin</w:t>
      </w:r>
      <w:r w:rsidR="00CF6184" w:rsidRPr="00DF78F2">
        <w:rPr>
          <w:rFonts w:ascii="Arial" w:hAnsi="Arial" w:cs="Arial"/>
        </w:rPr>
        <w:t>i</w:t>
      </w:r>
      <w:r w:rsidRPr="00DF78F2">
        <w:rPr>
          <w:rFonts w:ascii="Arial" w:hAnsi="Arial" w:cs="Arial"/>
        </w:rPr>
        <w:t xml:space="preserve"> koristio financijska sredstva u skladu s Financijskim planom Zavoda za 202</w:t>
      </w:r>
      <w:r w:rsidR="000E44DF">
        <w:rPr>
          <w:rFonts w:ascii="Arial" w:hAnsi="Arial" w:cs="Arial"/>
        </w:rPr>
        <w:t>5</w:t>
      </w:r>
      <w:r w:rsidRPr="00DF78F2">
        <w:rPr>
          <w:rFonts w:ascii="Arial" w:hAnsi="Arial" w:cs="Arial"/>
        </w:rPr>
        <w:t>.</w:t>
      </w:r>
      <w:r w:rsidR="00AB14E8" w:rsidRPr="00DF78F2">
        <w:rPr>
          <w:rFonts w:ascii="Arial" w:hAnsi="Arial" w:cs="Arial"/>
        </w:rPr>
        <w:t xml:space="preserve"> </w:t>
      </w:r>
      <w:r w:rsidRPr="00DF78F2">
        <w:rPr>
          <w:rFonts w:ascii="Arial" w:hAnsi="Arial" w:cs="Arial"/>
        </w:rPr>
        <w:t>g</w:t>
      </w:r>
      <w:r w:rsidR="00AB14E8" w:rsidRPr="00DF78F2">
        <w:rPr>
          <w:rFonts w:ascii="Arial" w:hAnsi="Arial" w:cs="Arial"/>
        </w:rPr>
        <w:t>odinu</w:t>
      </w:r>
      <w:r w:rsidRPr="00DF78F2">
        <w:rPr>
          <w:rFonts w:ascii="Arial" w:hAnsi="Arial" w:cs="Arial"/>
        </w:rPr>
        <w:t xml:space="preserve"> i projekcijama plana za 202</w:t>
      </w:r>
      <w:r w:rsidR="000E44DF">
        <w:rPr>
          <w:rFonts w:ascii="Arial" w:hAnsi="Arial" w:cs="Arial"/>
        </w:rPr>
        <w:t>6</w:t>
      </w:r>
      <w:r w:rsidRPr="00DF78F2">
        <w:rPr>
          <w:rFonts w:ascii="Arial" w:hAnsi="Arial" w:cs="Arial"/>
        </w:rPr>
        <w:t>. i 202</w:t>
      </w:r>
      <w:r w:rsidR="000E44DF">
        <w:rPr>
          <w:rFonts w:ascii="Arial" w:hAnsi="Arial" w:cs="Arial"/>
        </w:rPr>
        <w:t>7</w:t>
      </w:r>
      <w:r w:rsidRPr="00DF78F2">
        <w:rPr>
          <w:rFonts w:ascii="Arial" w:hAnsi="Arial" w:cs="Arial"/>
        </w:rPr>
        <w:t xml:space="preserve">. </w:t>
      </w:r>
      <w:r w:rsidR="00AB14E8" w:rsidRPr="00DF78F2">
        <w:rPr>
          <w:rFonts w:ascii="Arial" w:hAnsi="Arial" w:cs="Arial"/>
        </w:rPr>
        <w:t>g</w:t>
      </w:r>
      <w:r w:rsidRPr="00DF78F2">
        <w:rPr>
          <w:rFonts w:ascii="Arial" w:hAnsi="Arial" w:cs="Arial"/>
        </w:rPr>
        <w:t>odinu</w:t>
      </w:r>
      <w:r w:rsidR="00AB14E8" w:rsidRPr="00DF78F2">
        <w:rPr>
          <w:rFonts w:ascii="Arial" w:hAnsi="Arial" w:cs="Arial"/>
        </w:rPr>
        <w:t xml:space="preserve">, </w:t>
      </w:r>
      <w:r w:rsidRPr="00DF78F2">
        <w:rPr>
          <w:rFonts w:ascii="Arial" w:hAnsi="Arial" w:cs="Arial"/>
        </w:rPr>
        <w:t>za obavljanje poslova prostornog uređenja propisanih Zakonom o prostornom uređenju, te izvršavanje zadataka koj</w:t>
      </w:r>
      <w:r w:rsidR="00241F62">
        <w:rPr>
          <w:rFonts w:ascii="Arial" w:hAnsi="Arial" w:cs="Arial"/>
        </w:rPr>
        <w:t>i</w:t>
      </w:r>
      <w:r w:rsidRPr="00DF78F2">
        <w:rPr>
          <w:rFonts w:ascii="Arial" w:hAnsi="Arial" w:cs="Arial"/>
        </w:rPr>
        <w:t xml:space="preserve"> su u skladu sa Zakonom Zavodu postavili Župan i Ministar Ministarstva prostornoga uređenja, graditeljstva i državne imovine </w:t>
      </w:r>
      <w:r w:rsidR="00AB14E8" w:rsidRPr="00DF78F2">
        <w:rPr>
          <w:rFonts w:ascii="Arial" w:hAnsi="Arial" w:cs="Arial"/>
        </w:rPr>
        <w:t xml:space="preserve">(iskorišteno je </w:t>
      </w:r>
      <w:r w:rsidR="000E44DF">
        <w:rPr>
          <w:rFonts w:ascii="Arial" w:hAnsi="Arial" w:cs="Arial"/>
        </w:rPr>
        <w:t>97,88</w:t>
      </w:r>
      <w:r w:rsidR="00AB14E8" w:rsidRPr="00DF78F2">
        <w:rPr>
          <w:rFonts w:ascii="Arial" w:hAnsi="Arial" w:cs="Arial"/>
        </w:rPr>
        <w:t>% planiranih sredstava</w:t>
      </w:r>
      <w:r w:rsidR="00BA2D8C" w:rsidRPr="00DF78F2">
        <w:rPr>
          <w:rFonts w:ascii="Arial" w:hAnsi="Arial" w:cs="Arial"/>
        </w:rPr>
        <w:t>). S</w:t>
      </w:r>
      <w:r w:rsidRPr="00DF78F2">
        <w:rPr>
          <w:rFonts w:ascii="Arial" w:hAnsi="Arial" w:cs="Arial"/>
        </w:rPr>
        <w:t>redstva</w:t>
      </w:r>
      <w:r w:rsidR="00AB14E8" w:rsidRPr="00DF78F2">
        <w:rPr>
          <w:rFonts w:ascii="Arial" w:hAnsi="Arial" w:cs="Arial"/>
        </w:rPr>
        <w:t xml:space="preserve"> </w:t>
      </w:r>
      <w:r w:rsidR="009429FF">
        <w:rPr>
          <w:rFonts w:ascii="Arial" w:hAnsi="Arial" w:cs="Arial"/>
        </w:rPr>
        <w:t>su</w:t>
      </w:r>
      <w:r w:rsidRPr="00DF78F2">
        <w:rPr>
          <w:rFonts w:ascii="Arial" w:hAnsi="Arial" w:cs="Arial"/>
        </w:rPr>
        <w:t xml:space="preserve"> utrošen</w:t>
      </w:r>
      <w:r w:rsidR="00AB14E8" w:rsidRPr="00DF78F2">
        <w:rPr>
          <w:rFonts w:ascii="Arial" w:hAnsi="Arial" w:cs="Arial"/>
        </w:rPr>
        <w:t xml:space="preserve">a </w:t>
      </w:r>
      <w:r w:rsidR="008D6994">
        <w:rPr>
          <w:rFonts w:ascii="Arial" w:hAnsi="Arial" w:cs="Arial"/>
        </w:rPr>
        <w:t>na r</w:t>
      </w:r>
      <w:r w:rsidRPr="00DF78F2">
        <w:rPr>
          <w:rFonts w:ascii="Arial" w:hAnsi="Arial" w:cs="Arial"/>
        </w:rPr>
        <w:t xml:space="preserve">ashode </w:t>
      </w:r>
      <w:r w:rsidR="009429FF">
        <w:rPr>
          <w:rFonts w:ascii="Arial" w:hAnsi="Arial" w:cs="Arial"/>
        </w:rPr>
        <w:t>poslovanja i nabavu nefinancijske imovine.</w:t>
      </w:r>
    </w:p>
    <w:p w14:paraId="7D1FA41E" w14:textId="77777777" w:rsidR="00796557" w:rsidRPr="00DF78F2" w:rsidRDefault="00E3144F" w:rsidP="00DF78F2">
      <w:pPr>
        <w:spacing w:after="0"/>
        <w:ind w:firstLine="709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>Zavod se nije zaduživao na domaćem i stranom tržištu, pa stoga ne podnosi izvještaj o zaduživanju, kao ni izvještaj o korištenju sredstava EU, izvještaj o danim zajmovima i potra</w:t>
      </w:r>
      <w:r w:rsidR="009D459A" w:rsidRPr="00DF78F2">
        <w:rPr>
          <w:rFonts w:ascii="Arial" w:hAnsi="Arial" w:cs="Arial"/>
        </w:rPr>
        <w:t>živanjima po danim zajmovima, kao ni izvještaj o stanju potraživanja i dospjelih obveza po osnovi sudskih sporova, jer navedenih transakcija nije bilo.</w:t>
      </w:r>
    </w:p>
    <w:p w14:paraId="41E807A3" w14:textId="77777777" w:rsidR="002861DA" w:rsidRDefault="002861DA" w:rsidP="00DF78F2">
      <w:pPr>
        <w:spacing w:after="0"/>
        <w:ind w:firstLine="709"/>
        <w:jc w:val="both"/>
        <w:rPr>
          <w:rFonts w:ascii="Arial" w:hAnsi="Arial" w:cs="Arial"/>
        </w:rPr>
      </w:pPr>
    </w:p>
    <w:p w14:paraId="7D79D20D" w14:textId="77777777" w:rsidR="00DF78F2" w:rsidRPr="00DF78F2" w:rsidRDefault="00DF78F2" w:rsidP="00DF78F2">
      <w:pPr>
        <w:spacing w:after="0"/>
        <w:ind w:firstLine="709"/>
        <w:jc w:val="both"/>
        <w:rPr>
          <w:rFonts w:ascii="Arial" w:hAnsi="Arial" w:cs="Arial"/>
        </w:rPr>
      </w:pPr>
    </w:p>
    <w:p w14:paraId="457C34C2" w14:textId="77777777" w:rsidR="00251CD9" w:rsidRPr="00DF78F2" w:rsidRDefault="00251CD9" w:rsidP="00DF78F2">
      <w:pPr>
        <w:pStyle w:val="BodyText"/>
        <w:spacing w:after="0"/>
        <w:ind w:right="-28"/>
        <w:rPr>
          <w:rFonts w:ascii="Arial" w:eastAsia="Times New Roman" w:hAnsi="Arial" w:cs="Arial"/>
          <w:b/>
          <w:bCs/>
          <w:lang w:eastAsia="hr-HR"/>
        </w:rPr>
      </w:pPr>
      <w:r w:rsidRPr="00DF78F2">
        <w:rPr>
          <w:rFonts w:ascii="Arial" w:eastAsia="Times New Roman" w:hAnsi="Arial" w:cs="Arial"/>
          <w:b/>
          <w:bCs/>
          <w:lang w:eastAsia="hr-HR"/>
        </w:rPr>
        <w:t>5. CILJEVI I POKAZATELJI USPJEŠNOSTI KOJIMA ĆE SE MJERITI OSTVARENJE CILJEVA</w:t>
      </w:r>
    </w:p>
    <w:p w14:paraId="4900D004" w14:textId="77777777" w:rsidR="002E0E24" w:rsidRPr="00DF78F2" w:rsidRDefault="002E0E24" w:rsidP="00DF78F2">
      <w:pPr>
        <w:autoSpaceDE w:val="0"/>
        <w:autoSpaceDN w:val="0"/>
        <w:adjustRightInd w:val="0"/>
        <w:spacing w:after="0" w:line="201" w:lineRule="atLeast"/>
        <w:ind w:firstLine="482"/>
        <w:jc w:val="both"/>
        <w:rPr>
          <w:rFonts w:ascii="Arial" w:hAnsi="Arial" w:cs="Arial"/>
        </w:rPr>
      </w:pPr>
    </w:p>
    <w:p w14:paraId="3F39059E" w14:textId="77777777" w:rsidR="000464D1" w:rsidRDefault="000464D1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>Zavod za prostorno uređenje svojim kontinuiranim obavljanjem propisanih poslova, posebice izradom prostornih planova i njihovih izmjena i dopuna, ispunjava ciljeve prostornog uređenja utvrđene Zakonom o prostornom uređenju (ravnomjerni prostorni razvoj usklađen s gospodarskim, društvenim i okolišnim polazištima, prostorna održivost u odnosu na racionalno korištenje i očuvanje kapaciteta prostora, razumno korištenje i zaštita prirodnih dobara i zaštita kulturnih dobara, odgovarajući prometni sustav).</w:t>
      </w:r>
    </w:p>
    <w:p w14:paraId="099941EA" w14:textId="77777777" w:rsidR="00DF78F2" w:rsidRPr="00DF78F2" w:rsidRDefault="00DF78F2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</w:p>
    <w:p w14:paraId="5782545F" w14:textId="77777777" w:rsidR="000464D1" w:rsidRDefault="000464D1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 xml:space="preserve">Praćenjem stanja u prostoru i sudjelovanjem u vođenju Informacijskog sustava prostornog uređenja Zavod participira u uspostavljenim sustavima nadležnog Ministarstva, te sukladno Zakonu periodički izvještava predstavničko tijelo Županije o stanju u prostoru i prostornom uređenju. </w:t>
      </w:r>
    </w:p>
    <w:p w14:paraId="3DEB9A5A" w14:textId="77777777" w:rsidR="00DF78F2" w:rsidRPr="00DF78F2" w:rsidRDefault="00DF78F2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</w:p>
    <w:p w14:paraId="128D405F" w14:textId="77777777" w:rsidR="00DF78F2" w:rsidRDefault="000464D1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 xml:space="preserve">Zavod kroz odgovarajuću obradu podataka iz usvojenih prostornih planova svih razina i njihovih izmjena i dopuna, te njihovu ugradnju u uspostavljeni Informacijski sustav prostornog uređenja na razini Države, kao i u sustave uspostavljene na razini Županije i JLS-a, omogućava i olakšava provedbu prostornih planova, odnosno osigurava uvjete za unaprjeđenje izdavanja propisanih akata za gradnju i druge zahvate u prostoru. Isto tako, Zavod  obrađuje podatke iz prostornih planova i u cilju izrade Državnog plana prostornog razvoja. </w:t>
      </w:r>
    </w:p>
    <w:p w14:paraId="4FEB2F8A" w14:textId="77777777" w:rsidR="000464D1" w:rsidRPr="00DF78F2" w:rsidRDefault="000464D1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lastRenderedPageBreak/>
        <w:t xml:space="preserve">  </w:t>
      </w:r>
    </w:p>
    <w:p w14:paraId="0C8B8F5D" w14:textId="77777777" w:rsidR="000464D1" w:rsidRDefault="000464D1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 xml:space="preserve">Pružanjem stručne pomoći jedinicama lokalne samouprave olakšava se provođenje potrebnih aktivnosti i ispunjavanje obveza na lokalnoj razini u području prostornog uređenja, te osiguranje lokalnih potreba usklađenih s potrebama Županije i Države.  </w:t>
      </w:r>
    </w:p>
    <w:p w14:paraId="6107882C" w14:textId="77777777" w:rsidR="00DF78F2" w:rsidRPr="00DF78F2" w:rsidRDefault="00DF78F2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</w:p>
    <w:p w14:paraId="78FFF252" w14:textId="77777777" w:rsidR="00357471" w:rsidRPr="00B3117D" w:rsidRDefault="00357471" w:rsidP="00201A63">
      <w:pPr>
        <w:pStyle w:val="Default"/>
        <w:ind w:firstLine="480"/>
        <w:jc w:val="both"/>
        <w:rPr>
          <w:rFonts w:ascii="Arial" w:hAnsi="Arial" w:cs="Arial"/>
          <w:sz w:val="22"/>
          <w:szCs w:val="22"/>
        </w:rPr>
      </w:pPr>
      <w:r w:rsidRPr="00B3117D">
        <w:rPr>
          <w:rFonts w:ascii="Arial" w:hAnsi="Arial" w:cs="Arial"/>
          <w:sz w:val="22"/>
          <w:szCs w:val="22"/>
        </w:rPr>
        <w:t xml:space="preserve">Kroz rad i djelovanje Zavoda </w:t>
      </w:r>
      <w:r w:rsidRPr="00B3117D">
        <w:rPr>
          <w:rFonts w:ascii="Arial" w:eastAsia="Calibri" w:hAnsi="Arial" w:cs="Arial"/>
          <w:sz w:val="22"/>
          <w:szCs w:val="22"/>
        </w:rPr>
        <w:t xml:space="preserve">doprinosi se </w:t>
      </w:r>
      <w:r w:rsidRPr="00B3117D">
        <w:rPr>
          <w:rFonts w:ascii="Arial" w:hAnsi="Arial" w:cs="Arial"/>
          <w:sz w:val="22"/>
          <w:szCs w:val="22"/>
        </w:rPr>
        <w:t>ostvarenju  strateškog okvira koji je dio Plana razvoja Međimurske županije za razdoblje do 2027. godine kao i Provedbenog programa Međimurske županije za razdoblje do 2025. godine. U tim su dokumentima zacrtana tri prioriteta razvoja Međimurske županije: održivi razvoj, zdravo učinkovito i otporno društvo te zeleno i digitalno Međimurje. Izradom dokumenata prostornog uređenja svih razina i drugim aktivnostima Zavoda u području prostornog uređenja osiguravaju se prostorno-planske pretpostavke za realizaciju usvojenih strategija, programa, ciljeva i projekata Međimurske županije koji su vezani uz prostor, te zaštitu i očuvanje prirodnih, kulturnih i krajobraznih vrijednosti prostora Županije</w:t>
      </w:r>
    </w:p>
    <w:p w14:paraId="38BFA6E6" w14:textId="77777777" w:rsidR="00241F62" w:rsidRDefault="00241F62" w:rsidP="00201A63">
      <w:pPr>
        <w:pStyle w:val="Default"/>
        <w:ind w:firstLine="480"/>
        <w:jc w:val="both"/>
        <w:rPr>
          <w:rFonts w:ascii="Arial" w:hAnsi="Arial" w:cs="Arial"/>
          <w:sz w:val="22"/>
          <w:szCs w:val="22"/>
        </w:rPr>
      </w:pPr>
    </w:p>
    <w:p w14:paraId="2B728C83" w14:textId="77777777" w:rsidR="00241F62" w:rsidRPr="00B3117D" w:rsidRDefault="00241F62" w:rsidP="00201A63">
      <w:pPr>
        <w:pStyle w:val="Default"/>
        <w:ind w:firstLine="480"/>
        <w:jc w:val="both"/>
        <w:rPr>
          <w:rFonts w:ascii="Arial" w:hAnsi="Arial" w:cs="Arial"/>
          <w:sz w:val="22"/>
          <w:szCs w:val="22"/>
        </w:rPr>
      </w:pPr>
    </w:p>
    <w:p w14:paraId="648557F4" w14:textId="77777777" w:rsidR="000464D1" w:rsidRDefault="006E2584" w:rsidP="00201A63">
      <w:pPr>
        <w:spacing w:after="0" w:line="240" w:lineRule="auto"/>
        <w:ind w:left="98" w:right="-28"/>
        <w:rPr>
          <w:rFonts w:ascii="Arial" w:eastAsia="Times New Roman" w:hAnsi="Arial" w:cs="Arial"/>
          <w:b/>
          <w:bCs/>
          <w:iCs/>
          <w:lang w:eastAsia="hr-HR"/>
        </w:rPr>
      </w:pPr>
      <w:r w:rsidRPr="00DF78F2">
        <w:rPr>
          <w:rFonts w:ascii="Arial" w:eastAsia="Times New Roman" w:hAnsi="Arial" w:cs="Arial"/>
          <w:b/>
          <w:bCs/>
          <w:iCs/>
          <w:lang w:eastAsia="hr-HR"/>
        </w:rPr>
        <w:t xml:space="preserve">CILJEVI I POKAZATELJI  USPJEŠNOSTI </w:t>
      </w:r>
    </w:p>
    <w:p w14:paraId="6A8C07BA" w14:textId="77777777" w:rsidR="00357471" w:rsidRDefault="00357471" w:rsidP="00201A63">
      <w:pPr>
        <w:spacing w:after="0" w:line="240" w:lineRule="auto"/>
        <w:ind w:left="98" w:right="-28"/>
        <w:rPr>
          <w:rFonts w:ascii="Arial" w:eastAsia="Times New Roman" w:hAnsi="Arial" w:cs="Arial"/>
          <w:b/>
          <w:bCs/>
          <w:iCs/>
          <w:lang w:eastAsia="hr-HR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57471" w:rsidRPr="00B3117D" w14:paraId="47D6122B" w14:textId="77777777" w:rsidTr="00A900E1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4D7A" w14:textId="77777777" w:rsidR="00357471" w:rsidRPr="00B3117D" w:rsidRDefault="00357471" w:rsidP="00A900E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bookmarkStart w:id="0" w:name="_Hlk118290487"/>
            <w:r w:rsidRPr="00B3117D">
              <w:rPr>
                <w:rFonts w:ascii="Arial" w:eastAsia="Times New Roman" w:hAnsi="Arial" w:cs="Arial"/>
                <w:b/>
                <w:bCs/>
                <w:lang w:eastAsia="hr-HR"/>
              </w:rPr>
              <w:t>Aktivnost: Rashodi za zaposlene</w:t>
            </w:r>
          </w:p>
        </w:tc>
      </w:tr>
      <w:tr w:rsidR="00357471" w:rsidRPr="00B3117D" w14:paraId="2E928230" w14:textId="77777777" w:rsidTr="00A900E1">
        <w:trPr>
          <w:trHeight w:val="509"/>
        </w:trPr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FA8E" w14:textId="4B06CBB1" w:rsidR="00357471" w:rsidRDefault="00357471" w:rsidP="00A900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Od redovnih djelatnosti Zavoda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u</w:t>
            </w:r>
            <w:r w:rsidR="00AB652C">
              <w:rPr>
                <w:rFonts w:ascii="Arial" w:eastAsia="Times New Roman" w:hAnsi="Arial" w:cs="Arial"/>
                <w:color w:val="000000"/>
                <w:lang w:eastAsia="hr-HR"/>
              </w:rPr>
              <w:t xml:space="preserve"> 2025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>. godin</w:t>
            </w:r>
            <w:r w:rsidR="00241F62">
              <w:rPr>
                <w:rFonts w:ascii="Arial" w:eastAsia="Times New Roman" w:hAnsi="Arial" w:cs="Arial"/>
                <w:color w:val="000000"/>
                <w:lang w:eastAsia="hr-HR"/>
              </w:rPr>
              <w:t>i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nastavljena je procedura izrade III. ID PPŽ </w:t>
            </w:r>
            <w:r w:rsidR="00183C14">
              <w:rPr>
                <w:rFonts w:ascii="Arial" w:eastAsia="Times New Roman" w:hAnsi="Arial" w:cs="Arial"/>
                <w:color w:val="000000"/>
                <w:lang w:eastAsia="hr-HR"/>
              </w:rPr>
              <w:t xml:space="preserve">te </w:t>
            </w:r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>su</w:t>
            </w:r>
            <w:r w:rsidR="00183C14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 xml:space="preserve">13. ožujka 2025. godine </w:t>
            </w:r>
            <w:r w:rsidR="00183C14">
              <w:rPr>
                <w:rFonts w:ascii="Arial" w:eastAsia="Times New Roman" w:hAnsi="Arial" w:cs="Arial"/>
                <w:color w:val="000000"/>
                <w:lang w:eastAsia="hr-HR"/>
              </w:rPr>
              <w:t xml:space="preserve">na </w:t>
            </w:r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 xml:space="preserve">2. sjednici Skupštine Međimurske županije usvojene 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 III. ID PPŽ</w:t>
            </w:r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 xml:space="preserve">Zavod je </w:t>
            </w:r>
            <w:r w:rsidR="005D2F69">
              <w:rPr>
                <w:rFonts w:ascii="Arial" w:eastAsia="Times New Roman" w:hAnsi="Arial" w:cs="Arial"/>
                <w:color w:val="000000"/>
                <w:lang w:eastAsia="hr-HR"/>
              </w:rPr>
              <w:t>izradio</w:t>
            </w:r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 xml:space="preserve"> transformacij</w:t>
            </w:r>
            <w:r w:rsidR="005D2F69">
              <w:rPr>
                <w:rFonts w:ascii="Arial" w:eastAsia="Times New Roman" w:hAnsi="Arial" w:cs="Arial"/>
                <w:color w:val="000000"/>
                <w:lang w:eastAsia="hr-HR"/>
              </w:rPr>
              <w:t>u</w:t>
            </w:r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Prostornih planova uređenja Općine </w:t>
            </w:r>
            <w:proofErr w:type="spellStart"/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>Dekanovec</w:t>
            </w:r>
            <w:proofErr w:type="spellEnd"/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Općine Pribislavec te</w:t>
            </w:r>
            <w:r w:rsidR="001241D3">
              <w:rPr>
                <w:rFonts w:ascii="Arial" w:eastAsia="Times New Roman" w:hAnsi="Arial" w:cs="Arial"/>
                <w:color w:val="000000"/>
                <w:lang w:eastAsia="hr-HR"/>
              </w:rPr>
              <w:t xml:space="preserve"> započeo</w:t>
            </w:r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 xml:space="preserve"> s </w:t>
            </w:r>
            <w:r w:rsidR="001241D3">
              <w:rPr>
                <w:rFonts w:ascii="Arial" w:eastAsia="Times New Roman" w:hAnsi="Arial" w:cs="Arial"/>
                <w:color w:val="000000"/>
                <w:lang w:eastAsia="hr-HR"/>
              </w:rPr>
              <w:t>i</w:t>
            </w:r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>zradom izmjene i dopune prostornog plana</w:t>
            </w:r>
            <w:r w:rsidR="001241D3">
              <w:rPr>
                <w:rFonts w:ascii="Arial" w:eastAsia="Times New Roman" w:hAnsi="Arial" w:cs="Arial"/>
                <w:color w:val="000000"/>
                <w:lang w:eastAsia="hr-HR"/>
              </w:rPr>
              <w:t xml:space="preserve"> uređenja</w:t>
            </w:r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 xml:space="preserve"> Općine Gornji </w:t>
            </w:r>
            <w:proofErr w:type="spellStart"/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>Mihaljevec</w:t>
            </w:r>
            <w:proofErr w:type="spellEnd"/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 xml:space="preserve"> u novom sustavu prostornog planiranja </w:t>
            </w:r>
            <w:proofErr w:type="spellStart"/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>ePlanovi</w:t>
            </w:r>
            <w:proofErr w:type="spellEnd"/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 xml:space="preserve">. Kontinuirano je pružana pomoć JLS pri vođenju </w:t>
            </w:r>
            <w:r w:rsidR="005D2F69">
              <w:rPr>
                <w:rFonts w:ascii="Arial" w:eastAsia="Times New Roman" w:hAnsi="Arial" w:cs="Arial"/>
                <w:color w:val="000000"/>
                <w:lang w:eastAsia="hr-HR"/>
              </w:rPr>
              <w:t xml:space="preserve">nove </w:t>
            </w:r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>procedure izrade planova u sustav</w:t>
            </w:r>
            <w:r w:rsidR="005D2F69">
              <w:rPr>
                <w:rFonts w:ascii="Arial" w:eastAsia="Times New Roman" w:hAnsi="Arial" w:cs="Arial"/>
                <w:color w:val="000000"/>
                <w:lang w:eastAsia="hr-HR"/>
              </w:rPr>
              <w:t>u</w:t>
            </w:r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>ePlanovi</w:t>
            </w:r>
            <w:proofErr w:type="spellEnd"/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 xml:space="preserve">.  </w:t>
            </w:r>
          </w:p>
          <w:p w14:paraId="3D32475A" w14:textId="73E722C1" w:rsidR="00E86096" w:rsidRDefault="00736467" w:rsidP="00736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Temeljem Rješenja Državne komisije za kontrolu javne nabave </w:t>
            </w:r>
            <w:r w:rsidR="005D2F69">
              <w:rPr>
                <w:rFonts w:ascii="Arial" w:eastAsia="Times New Roman" w:hAnsi="Arial" w:cs="Arial"/>
                <w:color w:val="000000"/>
                <w:lang w:eastAsia="hr-HR"/>
              </w:rPr>
              <w:t xml:space="preserve">za izradu Krajobrazne osnove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stručno povjerenstvo čiji su članovi i zaposlenici Zavoda ponovno je izvršilo pregled i ocjenu prispjelih ponuda i izabrao izrađivača stručne podloge. U lipnju je potpisan ugovor s izrađivačem Krajobrazne osnove Međimurske županije</w:t>
            </w:r>
            <w:r w:rsidR="005D2F69">
              <w:rPr>
                <w:rFonts w:ascii="Arial" w:eastAsia="Times New Roman" w:hAnsi="Arial" w:cs="Arial"/>
                <w:color w:val="00000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održan je inicijalni sastanak na kojem su se dogovori</w:t>
            </w:r>
            <w:r w:rsidR="001241D3">
              <w:rPr>
                <w:rFonts w:ascii="Arial" w:eastAsia="Times New Roman" w:hAnsi="Arial" w:cs="Arial"/>
                <w:color w:val="000000"/>
                <w:lang w:eastAsia="hr-HR"/>
              </w:rPr>
              <w:t>li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daljnji koraci u izradi stručne podloge</w:t>
            </w:r>
            <w:r w:rsidR="005D2F69">
              <w:rPr>
                <w:rFonts w:ascii="Arial" w:eastAsia="Times New Roman" w:hAnsi="Arial" w:cs="Arial"/>
                <w:color w:val="000000"/>
                <w:lang w:eastAsia="hr-HR"/>
              </w:rPr>
              <w:t xml:space="preserve"> te je</w:t>
            </w:r>
            <w:r w:rsidR="00E86096">
              <w:rPr>
                <w:rFonts w:ascii="Arial" w:eastAsia="Times New Roman" w:hAnsi="Arial" w:cs="Arial"/>
                <w:color w:val="000000"/>
                <w:lang w:eastAsia="hr-HR"/>
              </w:rPr>
              <w:t xml:space="preserve"> u </w:t>
            </w:r>
            <w:r w:rsidR="005D2F69">
              <w:rPr>
                <w:rFonts w:ascii="Arial" w:eastAsia="Times New Roman" w:hAnsi="Arial" w:cs="Arial"/>
                <w:color w:val="000000"/>
                <w:lang w:eastAsia="hr-HR"/>
              </w:rPr>
              <w:t>l</w:t>
            </w:r>
            <w:r w:rsidR="00E86096">
              <w:rPr>
                <w:rFonts w:ascii="Arial" w:eastAsia="Times New Roman" w:hAnsi="Arial" w:cs="Arial"/>
                <w:color w:val="000000"/>
                <w:lang w:eastAsia="hr-HR"/>
              </w:rPr>
              <w:t>istopadu dostavljena I. faza</w:t>
            </w:r>
            <w:r w:rsidR="005D2F69">
              <w:rPr>
                <w:rFonts w:ascii="Arial" w:eastAsia="Times New Roman" w:hAnsi="Arial" w:cs="Arial"/>
                <w:color w:val="000000"/>
                <w:lang w:eastAsia="hr-HR"/>
              </w:rPr>
              <w:t xml:space="preserve"> stručne podloge</w:t>
            </w:r>
            <w:r w:rsidR="009109CD">
              <w:rPr>
                <w:rFonts w:ascii="Arial" w:eastAsia="Times New Roman" w:hAnsi="Arial" w:cs="Arial"/>
                <w:color w:val="000000"/>
                <w:lang w:eastAsia="hr-HR"/>
              </w:rPr>
              <w:t xml:space="preserve"> koja je predstavljena na sastanku s relevantnim dionicima.</w:t>
            </w:r>
          </w:p>
          <w:p w14:paraId="463D85FE" w14:textId="32BE6B4B" w:rsidR="00E86096" w:rsidRDefault="00E86096" w:rsidP="00736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U studenom su poslani pozivi za dostavu ponud</w:t>
            </w:r>
            <w:r w:rsidR="005D2F69">
              <w:rPr>
                <w:rFonts w:ascii="Arial" w:eastAsia="Times New Roman" w:hAnsi="Arial" w:cs="Arial"/>
                <w:color w:val="000000"/>
                <w:lang w:eastAsia="hr-HR"/>
              </w:rPr>
              <w:t xml:space="preserve">a jednostavne nabave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za izradu Karte podložnosti na klizanje</w:t>
            </w:r>
            <w:r w:rsidR="001241D3">
              <w:rPr>
                <w:rFonts w:ascii="Arial" w:eastAsia="Times New Roman" w:hAnsi="Arial" w:cs="Arial"/>
                <w:color w:val="000000"/>
                <w:lang w:eastAsia="hr-HR"/>
              </w:rPr>
              <w:t xml:space="preserve"> Međimurske županije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, a u prosincu je izabran izrađivač.</w:t>
            </w:r>
          </w:p>
          <w:p w14:paraId="7A83D515" w14:textId="77FB19C8" w:rsidR="00736467" w:rsidRPr="00B3117D" w:rsidRDefault="00E86096" w:rsidP="00E86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Pozivi za dostavu ponuda </w:t>
            </w:r>
            <w:r w:rsidR="005D2F69">
              <w:rPr>
                <w:rFonts w:ascii="Arial" w:eastAsia="Times New Roman" w:hAnsi="Arial" w:cs="Arial"/>
                <w:color w:val="000000"/>
                <w:lang w:eastAsia="hr-HR"/>
              </w:rPr>
              <w:t xml:space="preserve">jednostavne nabave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za izradu Socijalno demografske studije </w:t>
            </w:r>
            <w:r w:rsidR="001241D3">
              <w:rPr>
                <w:rFonts w:ascii="Arial" w:eastAsia="Times New Roman" w:hAnsi="Arial" w:cs="Arial"/>
                <w:color w:val="000000"/>
                <w:lang w:eastAsia="hr-HR"/>
              </w:rPr>
              <w:t xml:space="preserve">Međimurske županije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poslani su u prosincu.</w:t>
            </w:r>
            <w:r w:rsidR="0073646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57471" w:rsidRPr="008364A0" w14:paraId="214BE5C4" w14:textId="77777777" w:rsidTr="00A900E1">
        <w:trPr>
          <w:trHeight w:val="611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3325" w14:textId="77777777" w:rsidR="00357471" w:rsidRPr="008364A0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77BA4314" w14:textId="77777777" w:rsidR="00357471" w:rsidRPr="008364A0" w:rsidRDefault="00357471" w:rsidP="00357471">
      <w:pPr>
        <w:spacing w:after="0"/>
        <w:rPr>
          <w:rFonts w:ascii="Arial" w:hAnsi="Arial" w:cs="Arial"/>
          <w:b/>
        </w:rPr>
      </w:pPr>
    </w:p>
    <w:p w14:paraId="3FAC3CEB" w14:textId="77777777" w:rsidR="00357471" w:rsidRPr="008364A0" w:rsidRDefault="00357471" w:rsidP="00357471">
      <w:pPr>
        <w:spacing w:after="0"/>
        <w:rPr>
          <w:rFonts w:ascii="Arial" w:hAnsi="Arial" w:cs="Arial"/>
          <w:b/>
        </w:rPr>
      </w:pPr>
      <w:r w:rsidRPr="008364A0">
        <w:rPr>
          <w:rFonts w:ascii="Arial" w:hAnsi="Arial" w:cs="Arial"/>
          <w:b/>
        </w:rPr>
        <w:t xml:space="preserve">  Pokazatelji rezultata (navesti pokazatelje na razini aktivnosti/projekta):</w:t>
      </w:r>
    </w:p>
    <w:tbl>
      <w:tblPr>
        <w:tblW w:w="9125" w:type="dxa"/>
        <w:jc w:val="center"/>
        <w:tblLook w:val="04A0" w:firstRow="1" w:lastRow="0" w:firstColumn="1" w:lastColumn="0" w:noHBand="0" w:noVBand="1"/>
      </w:tblPr>
      <w:tblGrid>
        <w:gridCol w:w="1247"/>
        <w:gridCol w:w="1417"/>
        <w:gridCol w:w="1017"/>
        <w:gridCol w:w="1701"/>
        <w:gridCol w:w="1038"/>
        <w:gridCol w:w="1358"/>
        <w:gridCol w:w="1347"/>
      </w:tblGrid>
      <w:tr w:rsidR="00357471" w:rsidRPr="008364A0" w14:paraId="46998B48" w14:textId="77777777" w:rsidTr="00452A51">
        <w:trPr>
          <w:trHeight w:val="56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D784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Pokazatelj</w:t>
            </w:r>
          </w:p>
          <w:p w14:paraId="07BDBC1F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AA96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Definicija pokazatelja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AEE3E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B837" w14:textId="77777777" w:rsidR="0027673A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Polazna vrijednost</w:t>
            </w:r>
          </w:p>
          <w:p w14:paraId="3A02B1BE" w14:textId="73949659" w:rsidR="00357471" w:rsidRPr="00B3117D" w:rsidRDefault="0027673A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2024.</w:t>
            </w:r>
            <w:r w:rsidR="00357471"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8B2F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podataka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D56A7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Ciljana vrijednost</w:t>
            </w:r>
          </w:p>
          <w:p w14:paraId="0AC21093" w14:textId="6AB86F37" w:rsidR="00357471" w:rsidRPr="00B3117D" w:rsidRDefault="009429FF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</w:t>
            </w:r>
            <w:r w:rsidR="002D369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  <w:r w:rsidR="00357471"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28AF4" w14:textId="4198F8A5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Izvršeno 1.1.2</w:t>
            </w:r>
            <w:r w:rsidR="008E428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="009429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2D369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– 3</w:t>
            </w:r>
            <w:r w:rsidR="008E428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="008E428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</w:t>
            </w:r>
            <w:r w:rsidR="009429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.202</w:t>
            </w:r>
            <w:r w:rsidR="0027673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357471" w:rsidRPr="008364A0" w14:paraId="020AC8EE" w14:textId="77777777" w:rsidTr="00691CE0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1E6E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III. ID PPŽ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0A32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 Osiguravanje prostorno planskih preduvjeta za daljnji razvoj Županije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0EC3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izmjena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0635" w14:textId="3C178F37" w:rsidR="00357471" w:rsidRPr="00B3117D" w:rsidRDefault="00691CE0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  <w:p w14:paraId="2CE32860" w14:textId="7C451DBA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Izmjen</w:t>
            </w:r>
            <w:r w:rsidR="00691CE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 dopun</w:t>
            </w:r>
            <w:r w:rsidR="00691CE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e </w:t>
            </w:r>
            <w:r w:rsidR="002D369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završen</w:t>
            </w:r>
            <w:r w:rsidR="00691CE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ADF0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Zavod za prostorno uređenje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9978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III.</w:t>
            </w:r>
          </w:p>
          <w:p w14:paraId="75A55CCB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Izmjena i dopuna PPŽ na snazi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CD88" w14:textId="6192D37D" w:rsidR="00357471" w:rsidRPr="00B3117D" w:rsidRDefault="002D3697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III. ID PPŽ </w:t>
            </w:r>
            <w:r w:rsidR="00E8609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usvojena </w:t>
            </w:r>
            <w:r w:rsidR="005D2F6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 na snazi</w:t>
            </w:r>
          </w:p>
        </w:tc>
      </w:tr>
      <w:tr w:rsidR="00357471" w:rsidRPr="008364A0" w14:paraId="448EBF42" w14:textId="77777777" w:rsidTr="00691CE0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02DD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izmjena i dopuna PPUG/O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 xml:space="preserve">** 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 UPU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BF29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Osiguravanje prostorno planskih preduvjeta za daljnji razvoj općina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787CC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izrađenih planova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7958" w14:textId="0292712B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C2915CF" w14:textId="13CB4059" w:rsidR="00357471" w:rsidRPr="00B3117D" w:rsidRDefault="0027673A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Sve </w:t>
            </w:r>
            <w:r w:rsidR="00357471"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Izmjen</w:t>
            </w:r>
            <w:r w:rsidR="00691CE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</w:t>
            </w:r>
            <w:r w:rsidR="00357471"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 dopun</w:t>
            </w:r>
            <w:r w:rsidR="00691CE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</w:t>
            </w:r>
            <w:r w:rsidR="00357471"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PPUO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6952A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6CE8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  <w:p w14:paraId="272FFBD7" w14:textId="6E45CA4B" w:rsidR="00357471" w:rsidRPr="00B3117D" w:rsidRDefault="009109CD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Izmjene i dopune</w:t>
            </w:r>
            <w:r w:rsidR="00357471"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PPUO u planu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57CEA" w14:textId="4EF170E3" w:rsidR="00183C14" w:rsidRDefault="008E4288" w:rsidP="00183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Završen</w:t>
            </w:r>
            <w:r w:rsidR="002D369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183C1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2 transformacije ID PPUO u sustavu </w:t>
            </w:r>
            <w:proofErr w:type="spellStart"/>
            <w:r w:rsidR="00183C1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ePlanovi</w:t>
            </w:r>
            <w:proofErr w:type="spellEnd"/>
            <w:r w:rsidR="00183C1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, a 1 ID PPUO </w:t>
            </w:r>
          </w:p>
          <w:p w14:paraId="727D1B57" w14:textId="59144306" w:rsidR="008E4288" w:rsidRPr="00B3117D" w:rsidRDefault="00183C14" w:rsidP="00183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je u </w:t>
            </w:r>
            <w:r w:rsidR="00E8609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izradi</w:t>
            </w:r>
          </w:p>
        </w:tc>
      </w:tr>
      <w:tr w:rsidR="00357471" w:rsidRPr="008364A0" w14:paraId="5740BE98" w14:textId="77777777" w:rsidTr="00452A51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1B1F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Izvješća o stanju u prostoru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4D6E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 Analiza prostornih podataka, analiza korištenja i 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namjene prostora i ocjena provedbe prostorno planskih dokumenata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2E48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Broj izrađenih izvješća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5846" w14:textId="6B3BD7D1" w:rsidR="00357471" w:rsidRPr="00B3117D" w:rsidRDefault="00691CE0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4048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Zavod za prostorno uređenje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1F59B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75800EB" w14:textId="5314CA84" w:rsidR="00357471" w:rsidRPr="00B3117D" w:rsidRDefault="00691CE0" w:rsidP="00691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  <w:p w14:paraId="26280765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0873B" w14:textId="5F6574E8" w:rsidR="00357471" w:rsidRPr="00B3117D" w:rsidRDefault="00F210BF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JLS nisu zatražile izradu</w:t>
            </w:r>
          </w:p>
        </w:tc>
      </w:tr>
      <w:tr w:rsidR="00357471" w:rsidRPr="008364A0" w14:paraId="43111A7A" w14:textId="77777777" w:rsidTr="00452A51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CB717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Ažuriranje tematskih slojeva svih prostornih planova za ISPU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>****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8E072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Unos prostornih planova u ISPU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74F40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ažuriranih prostornih planova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84248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3C40F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4FB0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DD6A" w14:textId="63BE3679" w:rsidR="00357471" w:rsidRPr="008E4288" w:rsidRDefault="0057273C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</w:t>
            </w:r>
          </w:p>
        </w:tc>
      </w:tr>
      <w:tr w:rsidR="00357471" w:rsidRPr="008364A0" w14:paraId="467C1742" w14:textId="77777777" w:rsidTr="00452A51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1948A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Vektorska obrada prostornih podataka  PPUG/O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 xml:space="preserve">** 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</w:t>
            </w:r>
          </w:p>
          <w:p w14:paraId="431C19EB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DPPR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 xml:space="preserve">*****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B3786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Obrada podataka prostornih planova za DPPR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DD06B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obrađenih PPUG/O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1704F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85EE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BF6C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06268" w14:textId="0CB50880" w:rsidR="00357471" w:rsidRPr="008E4288" w:rsidRDefault="00183C14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452A51" w:rsidRPr="008364A0" w14:paraId="677BD912" w14:textId="77777777" w:rsidTr="00691CE0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A46CC" w14:textId="7A4C5114" w:rsidR="00452A51" w:rsidRPr="00B3117D" w:rsidRDefault="00452A5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Krajobrazne osnove MŽ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E5A4" w14:textId="1D390111" w:rsidR="00452A51" w:rsidRPr="00B3117D" w:rsidRDefault="00452A5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Stručna podloge za izradu PPŽ u sustavu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ePlanovi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editor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87CC6" w14:textId="2EEAA7F8" w:rsidR="00452A51" w:rsidRPr="00B3117D" w:rsidRDefault="00452A5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Broj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9A9C" w14:textId="7CCF4139" w:rsidR="00452A51" w:rsidRPr="00B3117D" w:rsidRDefault="00452A5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nabava u tijeku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34FB" w14:textId="486CE425" w:rsidR="00452A51" w:rsidRPr="00B3117D" w:rsidRDefault="00452A5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40A6" w14:textId="150DAB2F" w:rsidR="00452A51" w:rsidRPr="00B3117D" w:rsidRDefault="00452A5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I. faze Krajobrazne osnove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F460" w14:textId="67AC5CC1" w:rsidR="00452A51" w:rsidRDefault="00452A5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Dostavljena I. faza </w:t>
            </w:r>
          </w:p>
        </w:tc>
      </w:tr>
      <w:tr w:rsidR="00452A51" w:rsidRPr="008364A0" w14:paraId="684CD80E" w14:textId="77777777" w:rsidTr="00691CE0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6CE1" w14:textId="7F52EDFD" w:rsidR="00452A51" w:rsidRDefault="00452A5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Karta podložnosti na klizanje MŽ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FA4F" w14:textId="0DCF24AA" w:rsidR="00452A51" w:rsidRDefault="00452A5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Stručna podloge za izradu PPŽ u sustavu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ePlanovi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editor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28B3A" w14:textId="79FAC59F" w:rsidR="00452A51" w:rsidRDefault="00452A5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42ACE" w14:textId="03B24E05" w:rsidR="00452A51" w:rsidRDefault="0057273C" w:rsidP="00572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Priprema projektnog zadatka i dokumentacije za jednostavnu nabavu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AE8B0" w14:textId="31A7756B" w:rsidR="00452A51" w:rsidRPr="00B3117D" w:rsidRDefault="0057273C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DAF8F" w14:textId="4C751291" w:rsidR="00452A51" w:rsidRDefault="00E86096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Poslani pozivi za dostavu ponude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D21A" w14:textId="7C4A14C6" w:rsidR="00452A51" w:rsidRDefault="0057273C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Odabran izrađivač </w:t>
            </w:r>
          </w:p>
        </w:tc>
      </w:tr>
      <w:tr w:rsidR="00452A51" w:rsidRPr="008364A0" w14:paraId="20B160CA" w14:textId="77777777" w:rsidTr="00691CE0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97C28" w14:textId="56A76AA0" w:rsidR="00452A51" w:rsidRDefault="00452A5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Socijalno demokratska studija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D057C" w14:textId="5EBE4E6B" w:rsidR="00452A51" w:rsidRDefault="00452A5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Stručna podloge za izradu PPŽ u sustavu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ePlanovi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editor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86906" w14:textId="19033B5C" w:rsidR="00452A51" w:rsidRDefault="00452A5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1D223" w14:textId="3EFF5EB2" w:rsidR="00452A51" w:rsidRDefault="0057273C" w:rsidP="00572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Priprema projektnog zadatka i dokumentacije za jednostavnu nabavu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6315" w14:textId="2279438E" w:rsidR="00452A51" w:rsidRPr="00B3117D" w:rsidRDefault="0057273C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D25B" w14:textId="523F2E25" w:rsidR="00452A51" w:rsidRDefault="00E86096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Poslani pozivi za dostavu ponude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A99B" w14:textId="43017EBD" w:rsidR="00452A51" w:rsidRDefault="00E86096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Pristigle 2 ponude</w:t>
            </w:r>
          </w:p>
        </w:tc>
      </w:tr>
    </w:tbl>
    <w:p w14:paraId="219512E6" w14:textId="77777777" w:rsidR="00357471" w:rsidRPr="00B3117D" w:rsidRDefault="00357471" w:rsidP="00357471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  <w:r w:rsidRPr="008364A0">
        <w:rPr>
          <w:rFonts w:ascii="Arial" w:hAnsi="Arial" w:cs="Arial"/>
          <w:vertAlign w:val="superscript"/>
        </w:rPr>
        <w:t xml:space="preserve">    </w:t>
      </w:r>
      <w:r>
        <w:rPr>
          <w:rFonts w:ascii="Arial" w:hAnsi="Arial" w:cs="Arial"/>
          <w:vertAlign w:val="superscript"/>
        </w:rPr>
        <w:t xml:space="preserve">    </w:t>
      </w:r>
      <w:r w:rsidRPr="008364A0">
        <w:rPr>
          <w:rFonts w:ascii="Arial" w:hAnsi="Arial" w:cs="Arial"/>
          <w:vertAlign w:val="superscript"/>
        </w:rPr>
        <w:t xml:space="preserve"> </w:t>
      </w:r>
      <w:r w:rsidRPr="00B3117D">
        <w:rPr>
          <w:rFonts w:ascii="Arial" w:hAnsi="Arial" w:cs="Arial"/>
          <w:sz w:val="18"/>
          <w:szCs w:val="18"/>
          <w:vertAlign w:val="superscript"/>
        </w:rPr>
        <w:t>*</w:t>
      </w:r>
      <w:r w:rsidR="008E428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8E4288">
        <w:rPr>
          <w:rFonts w:ascii="Arial" w:hAnsi="Arial" w:cs="Arial"/>
          <w:sz w:val="18"/>
          <w:szCs w:val="18"/>
        </w:rPr>
        <w:t xml:space="preserve"> Izmjena i dopuna</w:t>
      </w:r>
      <w:r w:rsidRPr="00B3117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3117D">
        <w:rPr>
          <w:rFonts w:ascii="Arial" w:hAnsi="Arial" w:cs="Arial"/>
          <w:sz w:val="18"/>
          <w:szCs w:val="18"/>
        </w:rPr>
        <w:t>Prostorni plan Županije</w:t>
      </w:r>
    </w:p>
    <w:p w14:paraId="6F02C5D0" w14:textId="77777777" w:rsidR="00357471" w:rsidRPr="00B3117D" w:rsidRDefault="00357471" w:rsidP="00357471">
      <w:pPr>
        <w:spacing w:after="0"/>
        <w:rPr>
          <w:rFonts w:ascii="Arial" w:hAnsi="Arial" w:cs="Arial"/>
          <w:sz w:val="18"/>
          <w:szCs w:val="18"/>
        </w:rPr>
      </w:pPr>
      <w:r w:rsidRPr="00B3117D">
        <w:rPr>
          <w:rFonts w:ascii="Arial" w:hAnsi="Arial" w:cs="Arial"/>
          <w:sz w:val="18"/>
          <w:szCs w:val="18"/>
          <w:vertAlign w:val="superscript"/>
        </w:rPr>
        <w:t xml:space="preserve">         **</w:t>
      </w:r>
      <w:r w:rsidRPr="00B3117D">
        <w:rPr>
          <w:rFonts w:ascii="Arial" w:hAnsi="Arial" w:cs="Arial"/>
          <w:sz w:val="18"/>
          <w:szCs w:val="18"/>
        </w:rPr>
        <w:t xml:space="preserve"> </w:t>
      </w:r>
      <w:r w:rsidR="008E4288">
        <w:rPr>
          <w:rFonts w:ascii="Arial" w:hAnsi="Arial" w:cs="Arial"/>
          <w:sz w:val="18"/>
          <w:szCs w:val="18"/>
        </w:rPr>
        <w:t xml:space="preserve"> Izmjena i dopuna </w:t>
      </w:r>
      <w:r w:rsidRPr="00B3117D">
        <w:rPr>
          <w:rFonts w:ascii="Arial" w:hAnsi="Arial" w:cs="Arial"/>
          <w:sz w:val="18"/>
          <w:szCs w:val="18"/>
        </w:rPr>
        <w:t>Prostorn</w:t>
      </w:r>
      <w:r w:rsidR="008E4288">
        <w:rPr>
          <w:rFonts w:ascii="Arial" w:hAnsi="Arial" w:cs="Arial"/>
          <w:sz w:val="18"/>
          <w:szCs w:val="18"/>
        </w:rPr>
        <w:t>og</w:t>
      </w:r>
      <w:r w:rsidRPr="00B3117D">
        <w:rPr>
          <w:rFonts w:ascii="Arial" w:hAnsi="Arial" w:cs="Arial"/>
          <w:sz w:val="18"/>
          <w:szCs w:val="18"/>
        </w:rPr>
        <w:t xml:space="preserve"> plan</w:t>
      </w:r>
      <w:r w:rsidR="008E4288">
        <w:rPr>
          <w:rFonts w:ascii="Arial" w:hAnsi="Arial" w:cs="Arial"/>
          <w:sz w:val="18"/>
          <w:szCs w:val="18"/>
        </w:rPr>
        <w:t>a</w:t>
      </w:r>
      <w:r w:rsidRPr="00B3117D">
        <w:rPr>
          <w:rFonts w:ascii="Arial" w:hAnsi="Arial" w:cs="Arial"/>
          <w:sz w:val="18"/>
          <w:szCs w:val="18"/>
        </w:rPr>
        <w:t xml:space="preserve"> uređenja grada / općine</w:t>
      </w:r>
    </w:p>
    <w:p w14:paraId="586BA89C" w14:textId="77777777" w:rsidR="00357471" w:rsidRPr="00B3117D" w:rsidRDefault="00357471" w:rsidP="00357471">
      <w:pPr>
        <w:spacing w:after="0"/>
        <w:rPr>
          <w:rFonts w:ascii="Arial" w:hAnsi="Arial" w:cs="Arial"/>
          <w:sz w:val="18"/>
          <w:szCs w:val="18"/>
        </w:rPr>
      </w:pPr>
      <w:r w:rsidRPr="00B3117D">
        <w:rPr>
          <w:rFonts w:ascii="Arial" w:hAnsi="Arial" w:cs="Arial"/>
          <w:sz w:val="18"/>
          <w:szCs w:val="18"/>
          <w:vertAlign w:val="superscript"/>
        </w:rPr>
        <w:t xml:space="preserve">        *** </w:t>
      </w:r>
      <w:r w:rsidR="008E428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8E4288" w:rsidRPr="008E4288">
        <w:rPr>
          <w:rFonts w:ascii="Arial" w:hAnsi="Arial" w:cs="Arial"/>
          <w:sz w:val="18"/>
          <w:szCs w:val="18"/>
        </w:rPr>
        <w:t>Izmjena i dopuna</w:t>
      </w:r>
      <w:r w:rsidR="004E0473">
        <w:rPr>
          <w:rFonts w:ascii="Arial" w:hAnsi="Arial" w:cs="Arial"/>
          <w:sz w:val="18"/>
          <w:szCs w:val="18"/>
        </w:rPr>
        <w:t xml:space="preserve"> </w:t>
      </w:r>
      <w:r w:rsidRPr="00B3117D">
        <w:rPr>
          <w:rFonts w:ascii="Arial" w:hAnsi="Arial" w:cs="Arial"/>
          <w:sz w:val="18"/>
          <w:szCs w:val="18"/>
        </w:rPr>
        <w:t>Urbanističk</w:t>
      </w:r>
      <w:r w:rsidR="004E0473">
        <w:rPr>
          <w:rFonts w:ascii="Arial" w:hAnsi="Arial" w:cs="Arial"/>
          <w:sz w:val="18"/>
          <w:szCs w:val="18"/>
        </w:rPr>
        <w:t>og</w:t>
      </w:r>
      <w:r w:rsidRPr="00B3117D">
        <w:rPr>
          <w:rFonts w:ascii="Arial" w:hAnsi="Arial" w:cs="Arial"/>
          <w:sz w:val="18"/>
          <w:szCs w:val="18"/>
        </w:rPr>
        <w:t xml:space="preserve"> plan</w:t>
      </w:r>
      <w:r w:rsidR="004E0473">
        <w:rPr>
          <w:rFonts w:ascii="Arial" w:hAnsi="Arial" w:cs="Arial"/>
          <w:sz w:val="18"/>
          <w:szCs w:val="18"/>
        </w:rPr>
        <w:t>a</w:t>
      </w:r>
      <w:r w:rsidRPr="00B3117D">
        <w:rPr>
          <w:rFonts w:ascii="Arial" w:hAnsi="Arial" w:cs="Arial"/>
          <w:sz w:val="18"/>
          <w:szCs w:val="18"/>
        </w:rPr>
        <w:t xml:space="preserve"> uređenja</w:t>
      </w:r>
    </w:p>
    <w:p w14:paraId="35303FD1" w14:textId="77777777" w:rsidR="00357471" w:rsidRPr="00B3117D" w:rsidRDefault="00357471" w:rsidP="00357471">
      <w:pPr>
        <w:spacing w:after="0"/>
        <w:rPr>
          <w:rFonts w:ascii="Arial" w:hAnsi="Arial" w:cs="Arial"/>
          <w:sz w:val="18"/>
          <w:szCs w:val="18"/>
        </w:rPr>
      </w:pPr>
      <w:r w:rsidRPr="00B3117D">
        <w:rPr>
          <w:rFonts w:ascii="Arial" w:hAnsi="Arial" w:cs="Arial"/>
          <w:sz w:val="18"/>
          <w:szCs w:val="18"/>
          <w:vertAlign w:val="superscript"/>
        </w:rPr>
        <w:t xml:space="preserve">      ****</w:t>
      </w:r>
      <w:r w:rsidRPr="00B3117D">
        <w:rPr>
          <w:rFonts w:ascii="Arial" w:hAnsi="Arial" w:cs="Arial"/>
          <w:sz w:val="18"/>
          <w:szCs w:val="18"/>
        </w:rPr>
        <w:t xml:space="preserve"> </w:t>
      </w:r>
      <w:r w:rsidR="004E0473">
        <w:rPr>
          <w:rFonts w:ascii="Arial" w:hAnsi="Arial" w:cs="Arial"/>
          <w:sz w:val="18"/>
          <w:szCs w:val="18"/>
        </w:rPr>
        <w:t xml:space="preserve"> </w:t>
      </w:r>
      <w:r w:rsidRPr="00B3117D">
        <w:rPr>
          <w:rFonts w:ascii="Arial" w:hAnsi="Arial" w:cs="Arial"/>
          <w:sz w:val="18"/>
          <w:szCs w:val="18"/>
        </w:rPr>
        <w:t>Informacijski sustav prostornog uređenja</w:t>
      </w:r>
    </w:p>
    <w:p w14:paraId="170CF1EC" w14:textId="77777777" w:rsidR="00357471" w:rsidRPr="00B3117D" w:rsidRDefault="00357471" w:rsidP="00357471">
      <w:pPr>
        <w:spacing w:after="0"/>
        <w:rPr>
          <w:rFonts w:ascii="Arial" w:hAnsi="Arial" w:cs="Arial"/>
          <w:sz w:val="18"/>
          <w:szCs w:val="18"/>
        </w:rPr>
      </w:pPr>
      <w:r w:rsidRPr="00B3117D">
        <w:rPr>
          <w:rFonts w:ascii="Arial" w:hAnsi="Arial" w:cs="Arial"/>
          <w:sz w:val="18"/>
          <w:szCs w:val="18"/>
          <w:vertAlign w:val="superscript"/>
        </w:rPr>
        <w:t xml:space="preserve">    *****</w:t>
      </w:r>
      <w:r w:rsidRPr="00B3117D">
        <w:rPr>
          <w:rFonts w:ascii="Arial" w:hAnsi="Arial" w:cs="Arial"/>
          <w:sz w:val="18"/>
          <w:szCs w:val="18"/>
        </w:rPr>
        <w:t xml:space="preserve"> </w:t>
      </w:r>
      <w:r w:rsidR="004E0473">
        <w:rPr>
          <w:rFonts w:ascii="Arial" w:hAnsi="Arial" w:cs="Arial"/>
          <w:sz w:val="18"/>
          <w:szCs w:val="18"/>
        </w:rPr>
        <w:t xml:space="preserve"> </w:t>
      </w:r>
      <w:r w:rsidRPr="00B3117D">
        <w:rPr>
          <w:rFonts w:ascii="Arial" w:hAnsi="Arial" w:cs="Arial"/>
          <w:sz w:val="18"/>
          <w:szCs w:val="18"/>
        </w:rPr>
        <w:t>Državni plan prostornog razvoja</w:t>
      </w:r>
    </w:p>
    <w:p w14:paraId="135298DD" w14:textId="77777777" w:rsidR="00241F62" w:rsidRPr="00B3117D" w:rsidRDefault="00241F62" w:rsidP="00357471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57471" w:rsidRPr="008364A0" w14:paraId="558A53A6" w14:textId="77777777" w:rsidTr="004E0473">
        <w:trPr>
          <w:trHeight w:val="199"/>
        </w:trPr>
        <w:tc>
          <w:tcPr>
            <w:tcW w:w="9072" w:type="dxa"/>
          </w:tcPr>
          <w:p w14:paraId="62BF075D" w14:textId="77777777" w:rsidR="00357471" w:rsidRPr="008364A0" w:rsidRDefault="00357471" w:rsidP="00A900E1">
            <w:pPr>
              <w:rPr>
                <w:rFonts w:ascii="Arial" w:hAnsi="Arial" w:cs="Arial"/>
              </w:rPr>
            </w:pPr>
            <w:r w:rsidRPr="008364A0">
              <w:rPr>
                <w:rFonts w:ascii="Arial" w:eastAsia="Times New Roman" w:hAnsi="Arial" w:cs="Arial"/>
                <w:b/>
                <w:bCs/>
                <w:lang w:eastAsia="hr-HR"/>
              </w:rPr>
              <w:t>1.2. Aktivnost: Materijalni i financijski rashodi</w:t>
            </w:r>
          </w:p>
        </w:tc>
      </w:tr>
      <w:tr w:rsidR="00357471" w:rsidRPr="008364A0" w14:paraId="28FDD017" w14:textId="77777777" w:rsidTr="004E0473">
        <w:trPr>
          <w:trHeight w:val="599"/>
        </w:trPr>
        <w:tc>
          <w:tcPr>
            <w:tcW w:w="9072" w:type="dxa"/>
          </w:tcPr>
          <w:p w14:paraId="36B7F17B" w14:textId="37F77B65" w:rsidR="00357471" w:rsidRPr="004E0473" w:rsidRDefault="00357471" w:rsidP="00A900E1">
            <w:pPr>
              <w:rPr>
                <w:rFonts w:ascii="Arial" w:eastAsia="Times New Roman" w:hAnsi="Arial" w:cs="Arial"/>
                <w:color w:val="000000"/>
                <w:highlight w:val="yellow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lang w:eastAsia="hr-HR"/>
              </w:rPr>
              <w:t>Materijalni rashodi odnose se na naknade troškova zaposlenika</w:t>
            </w:r>
            <w:r w:rsidR="000E44DF">
              <w:rPr>
                <w:rFonts w:ascii="Arial" w:eastAsia="Times New Roman" w:hAnsi="Arial" w:cs="Arial"/>
                <w:color w:val="000000"/>
                <w:lang w:eastAsia="hr-HR"/>
              </w:rPr>
              <w:t xml:space="preserve"> u iznosu od 7.873,84 </w:t>
            </w:r>
            <w:r w:rsidR="001241D3">
              <w:rPr>
                <w:rFonts w:ascii="Arial" w:eastAsia="Times New Roman" w:hAnsi="Arial" w:cs="Arial"/>
                <w:color w:val="000000"/>
                <w:lang w:eastAsia="hr-HR"/>
              </w:rPr>
              <w:t>€</w:t>
            </w:r>
            <w:r w:rsidR="009429FF">
              <w:rPr>
                <w:rFonts w:ascii="Arial" w:eastAsia="Times New Roman" w:hAnsi="Arial" w:cs="Arial"/>
                <w:color w:val="000000"/>
                <w:lang w:eastAsia="hr-HR"/>
              </w:rPr>
              <w:t>,</w:t>
            </w:r>
            <w:r w:rsidR="001241D3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9429FF">
              <w:rPr>
                <w:rFonts w:ascii="Arial" w:eastAsia="Times New Roman" w:hAnsi="Arial" w:cs="Arial"/>
                <w:color w:val="000000"/>
                <w:lang w:eastAsia="hr-HR"/>
              </w:rPr>
              <w:t>rashode za materijal</w:t>
            </w:r>
            <w:r w:rsidR="000E44DF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energiju u iznosu od 3.875,66</w:t>
            </w:r>
            <w:r w:rsidR="009429FF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27673A">
              <w:rPr>
                <w:rFonts w:ascii="Arial" w:hAnsi="Arial" w:cs="Arial"/>
                <w:bCs/>
              </w:rPr>
              <w:t>€</w:t>
            </w:r>
            <w:r w:rsidR="009429FF">
              <w:rPr>
                <w:rFonts w:ascii="Arial" w:eastAsia="Times New Roman" w:hAnsi="Arial" w:cs="Arial"/>
                <w:color w:val="000000"/>
                <w:lang w:eastAsia="hr-HR"/>
              </w:rPr>
              <w:t>,</w:t>
            </w:r>
            <w:r w:rsidR="001241D3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9429FF">
              <w:rPr>
                <w:rFonts w:ascii="Arial" w:eastAsia="Times New Roman" w:hAnsi="Arial" w:cs="Arial"/>
                <w:color w:val="000000"/>
                <w:lang w:eastAsia="hr-HR"/>
              </w:rPr>
              <w:t>rashode</w:t>
            </w:r>
            <w:r w:rsidR="000E44DF">
              <w:rPr>
                <w:rFonts w:ascii="Arial" w:eastAsia="Times New Roman" w:hAnsi="Arial" w:cs="Arial"/>
                <w:color w:val="000000"/>
                <w:lang w:eastAsia="hr-HR"/>
              </w:rPr>
              <w:t xml:space="preserve"> za usluge u iznosu od 46.405,47</w:t>
            </w:r>
            <w:r w:rsidR="009429FF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27673A">
              <w:rPr>
                <w:rFonts w:ascii="Arial" w:hAnsi="Arial" w:cs="Arial"/>
                <w:bCs/>
              </w:rPr>
              <w:t>€</w:t>
            </w:r>
            <w:r w:rsidR="009429FF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ostale materijal</w:t>
            </w:r>
            <w:r w:rsidR="000E44DF">
              <w:rPr>
                <w:rFonts w:ascii="Arial" w:eastAsia="Times New Roman" w:hAnsi="Arial" w:cs="Arial"/>
                <w:color w:val="000000"/>
                <w:lang w:eastAsia="hr-HR"/>
              </w:rPr>
              <w:t>ne rashode  u iznosu od 8.889,14</w:t>
            </w:r>
            <w:r w:rsidR="009429FF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27673A">
              <w:rPr>
                <w:rFonts w:ascii="Arial" w:hAnsi="Arial" w:cs="Arial"/>
                <w:bCs/>
              </w:rPr>
              <w:t>€</w:t>
            </w:r>
            <w:r w:rsidR="009429FF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Pr="008364A0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9429FF">
              <w:rPr>
                <w:rFonts w:ascii="Arial" w:eastAsia="Times New Roman" w:hAnsi="Arial" w:cs="Arial"/>
                <w:color w:val="000000"/>
                <w:lang w:eastAsia="hr-HR"/>
              </w:rPr>
              <w:t>Z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aposlenici</w:t>
            </w:r>
            <w:r w:rsidR="009429FF">
              <w:rPr>
                <w:rFonts w:ascii="Arial" w:eastAsia="Times New Roman" w:hAnsi="Arial" w:cs="Arial"/>
                <w:color w:val="000000"/>
                <w:lang w:eastAsia="hr-HR"/>
              </w:rPr>
              <w:t xml:space="preserve"> su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bili na </w:t>
            </w:r>
            <w:r w:rsidR="00C36BA1">
              <w:rPr>
                <w:rFonts w:ascii="Arial" w:eastAsia="Times New Roman" w:hAnsi="Arial" w:cs="Arial"/>
                <w:color w:val="000000"/>
                <w:lang w:eastAsia="hr-HR"/>
              </w:rPr>
              <w:t>13</w:t>
            </w:r>
            <w:r w:rsidRPr="00230245">
              <w:rPr>
                <w:rFonts w:ascii="Arial" w:eastAsia="Times New Roman" w:hAnsi="Arial" w:cs="Arial"/>
                <w:color w:val="000000"/>
                <w:lang w:eastAsia="hr-HR"/>
              </w:rPr>
              <w:t xml:space="preserve"> službenih putovanja, prisustvovali na 4 stručna skupa, </w:t>
            </w:r>
            <w:r w:rsidR="00C36BA1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  <w:r w:rsidRPr="00230245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230245">
              <w:rPr>
                <w:rFonts w:ascii="Arial" w:eastAsia="Times New Roman" w:hAnsi="Arial" w:cs="Arial"/>
                <w:color w:val="000000"/>
                <w:lang w:eastAsia="hr-HR"/>
              </w:rPr>
              <w:t>webinara</w:t>
            </w:r>
            <w:proofErr w:type="spellEnd"/>
            <w:r w:rsidR="00743D17" w:rsidRPr="00230245">
              <w:rPr>
                <w:rFonts w:ascii="Arial" w:eastAsia="Times New Roman" w:hAnsi="Arial" w:cs="Arial"/>
                <w:color w:val="000000"/>
                <w:lang w:eastAsia="hr-HR"/>
              </w:rPr>
              <w:t>, 4 edukacije</w:t>
            </w:r>
            <w:r w:rsidRPr="00230245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</w:t>
            </w:r>
            <w:r w:rsidR="00C36BA1">
              <w:rPr>
                <w:rFonts w:ascii="Arial" w:eastAsia="Times New Roman" w:hAnsi="Arial" w:cs="Arial"/>
                <w:color w:val="000000"/>
                <w:lang w:eastAsia="hr-HR"/>
              </w:rPr>
              <w:t xml:space="preserve">3 </w:t>
            </w:r>
            <w:r w:rsidRPr="00230245">
              <w:rPr>
                <w:rFonts w:ascii="Arial" w:eastAsia="Times New Roman" w:hAnsi="Arial" w:cs="Arial"/>
                <w:color w:val="000000"/>
                <w:lang w:eastAsia="hr-HR"/>
              </w:rPr>
              <w:t xml:space="preserve">konferencije. </w:t>
            </w:r>
          </w:p>
          <w:p w14:paraId="49B7BDEC" w14:textId="4EB92542" w:rsidR="00357471" w:rsidRPr="008364A0" w:rsidRDefault="000E44DF" w:rsidP="00A900E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</w:t>
            </w:r>
            <w:r w:rsidR="00357471">
              <w:rPr>
                <w:rFonts w:ascii="Arial" w:eastAsia="Times New Roman" w:hAnsi="Arial" w:cs="Arial"/>
                <w:color w:val="000000"/>
                <w:lang w:eastAsia="hr-HR"/>
              </w:rPr>
              <w:t>držan</w:t>
            </w:r>
            <w:r w:rsidR="00C40808">
              <w:rPr>
                <w:rFonts w:ascii="Arial" w:eastAsia="Times New Roman" w:hAnsi="Arial" w:cs="Arial"/>
                <w:color w:val="000000"/>
                <w:lang w:eastAsia="hr-HR"/>
              </w:rPr>
              <w:t>o je</w:t>
            </w:r>
            <w:r w:rsidR="001241D3">
              <w:rPr>
                <w:rFonts w:ascii="Arial" w:eastAsia="Times New Roman" w:hAnsi="Arial" w:cs="Arial"/>
                <w:color w:val="000000"/>
                <w:lang w:eastAsia="hr-HR"/>
              </w:rPr>
              <w:t xml:space="preserve"> 7</w:t>
            </w:r>
            <w:r w:rsidR="00357471">
              <w:rPr>
                <w:rFonts w:ascii="Arial" w:eastAsia="Times New Roman" w:hAnsi="Arial" w:cs="Arial"/>
                <w:color w:val="000000"/>
                <w:lang w:eastAsia="hr-HR"/>
              </w:rPr>
              <w:t xml:space="preserve"> sjednica Upravnog vijeća.</w:t>
            </w:r>
          </w:p>
        </w:tc>
      </w:tr>
    </w:tbl>
    <w:bookmarkEnd w:id="0"/>
    <w:p w14:paraId="2C24D587" w14:textId="77777777" w:rsidR="00230245" w:rsidRDefault="00357471" w:rsidP="00357471">
      <w:pPr>
        <w:spacing w:after="0"/>
        <w:rPr>
          <w:rFonts w:ascii="Arial" w:hAnsi="Arial" w:cs="Arial"/>
          <w:b/>
        </w:rPr>
      </w:pPr>
      <w:r w:rsidRPr="008364A0">
        <w:rPr>
          <w:rFonts w:ascii="Arial" w:hAnsi="Arial" w:cs="Arial"/>
          <w:b/>
        </w:rPr>
        <w:t xml:space="preserve">  </w:t>
      </w:r>
    </w:p>
    <w:p w14:paraId="222989DD" w14:textId="77777777" w:rsidR="00357471" w:rsidRPr="008364A0" w:rsidRDefault="00357471" w:rsidP="00357471">
      <w:pPr>
        <w:spacing w:after="0"/>
        <w:rPr>
          <w:rFonts w:ascii="Arial" w:hAnsi="Arial" w:cs="Arial"/>
          <w:b/>
        </w:rPr>
      </w:pPr>
      <w:r w:rsidRPr="008364A0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565"/>
        <w:gridCol w:w="1437"/>
        <w:gridCol w:w="1237"/>
        <w:gridCol w:w="1692"/>
        <w:gridCol w:w="1022"/>
        <w:gridCol w:w="942"/>
        <w:gridCol w:w="1167"/>
      </w:tblGrid>
      <w:tr w:rsidR="00C160D5" w:rsidRPr="008364A0" w14:paraId="4FC1FB64" w14:textId="77777777" w:rsidTr="004E0473">
        <w:trPr>
          <w:trHeight w:val="5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B688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Pokazatelj</w:t>
            </w:r>
          </w:p>
          <w:p w14:paraId="005951AF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rezultata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F449E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Definicija pokazatelja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85B62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Jedinica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9BBC" w14:textId="04A7BFE4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Polazna vrijednost 202</w:t>
            </w:r>
            <w:r w:rsidR="0027673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="0033380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7308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podataka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DDCA" w14:textId="77777777" w:rsidR="00357471" w:rsidRPr="004E0473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Ciljana </w:t>
            </w:r>
            <w:r w:rsidRPr="004E047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vrijednost</w:t>
            </w:r>
          </w:p>
          <w:p w14:paraId="48D746CE" w14:textId="77777777" w:rsidR="00357471" w:rsidRPr="00770AE9" w:rsidRDefault="007E0A7F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2025</w:t>
            </w:r>
            <w:r w:rsidR="00357471"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41E10" w14:textId="50DC896A" w:rsidR="00357471" w:rsidRPr="00770AE9" w:rsidRDefault="004E0473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Izvršeno 1.1.2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="007E0A7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27673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– 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</w:t>
            </w:r>
            <w:r w:rsidR="007E0A7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.202</w:t>
            </w:r>
            <w:r w:rsidR="0027673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  <w:r w:rsidR="00357471"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C160D5" w:rsidRPr="008364A0" w14:paraId="66DAE841" w14:textId="77777777" w:rsidTr="004E0473">
        <w:trPr>
          <w:trHeight w:val="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1247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CA9E" w14:textId="3C38DAD9" w:rsidR="00C160D5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Odlazak na sastanke u nadležno Ministarstv</w:t>
            </w:r>
            <w:r w:rsidR="00C160D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</w:t>
            </w:r>
            <w:r w:rsidR="00C82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</w:p>
          <w:p w14:paraId="32881DA9" w14:textId="66A3FD4A" w:rsidR="00357471" w:rsidRPr="00770AE9" w:rsidRDefault="00C160D5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</w:t>
            </w:r>
            <w:r w:rsidR="00C82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risustvovanje konferencijama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6BD81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službenih putovanja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C0EC" w14:textId="77777777" w:rsidR="00357471" w:rsidRPr="00770AE9" w:rsidRDefault="007E0A7F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0D61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C0E97" w14:textId="77777777" w:rsidR="00357471" w:rsidRPr="00770AE9" w:rsidRDefault="007E0A7F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89438" w14:textId="15C7CC42" w:rsidR="00357471" w:rsidRPr="004E0473" w:rsidRDefault="00C160D5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</w:t>
            </w:r>
          </w:p>
        </w:tc>
      </w:tr>
      <w:tr w:rsidR="00C160D5" w:rsidRPr="008364A0" w14:paraId="002B7471" w14:textId="77777777" w:rsidTr="004E0473">
        <w:trPr>
          <w:trHeight w:val="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037E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Stručno usavršavanje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EF9C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 Kontinuirano usavršavanje o prostornom planiranju, </w:t>
            </w: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klimatskim promjenama, zelenoj infrastrukturi…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410D0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 xml:space="preserve">Broj </w:t>
            </w:r>
            <w:r w:rsidR="00743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edukacija, </w:t>
            </w: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konferencija, stručnih </w:t>
            </w: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 xml:space="preserve">skupova i </w:t>
            </w:r>
            <w:proofErr w:type="spellStart"/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webinara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A692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12EB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AB8B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DC18" w14:textId="58D071AF" w:rsidR="00357471" w:rsidRPr="004E0473" w:rsidRDefault="00C36BA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27673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</w:tr>
      <w:tr w:rsidR="00C160D5" w:rsidRPr="008364A0" w14:paraId="3388DC49" w14:textId="77777777" w:rsidTr="00230245">
        <w:trPr>
          <w:trHeight w:val="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BFEF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Licence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0619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 Obnavljanje licenci računalnih programa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4BFE2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licenca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E990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1673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C0B27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494AE" w14:textId="1F85BCB3" w:rsidR="00357471" w:rsidRPr="007A4A53" w:rsidRDefault="004464AF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</w:tr>
      <w:tr w:rsidR="00C160D5" w:rsidRPr="008364A0" w14:paraId="39BE7F3F" w14:textId="77777777" w:rsidTr="004E0473">
        <w:trPr>
          <w:trHeight w:val="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A6C7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rad Upravnog vijeća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D3FF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Zavodom upravlja Upravno vijeće u skladu s odredbama Zakona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29DDA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sjednica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813A" w14:textId="77777777" w:rsidR="00357471" w:rsidRPr="00770AE9" w:rsidRDefault="007E0A7F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0370E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CFBA5" w14:textId="77777777" w:rsidR="00357471" w:rsidRPr="00770AE9" w:rsidRDefault="007E0A7F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E8E1C" w14:textId="5C64A2DD" w:rsidR="00357471" w:rsidRPr="004E0473" w:rsidRDefault="00E86096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C160D5" w:rsidRPr="008364A0" w14:paraId="7BDB61C4" w14:textId="77777777" w:rsidTr="004E0473">
        <w:trPr>
          <w:trHeight w:val="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5AC4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Članarine u strukovnim organizacijama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0AF5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 obavljanje rada u Zavodu potrebno je najmanje 3 ovlaštena arhitekta urbanista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5F94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članarina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F6CEE" w14:textId="77777777" w:rsidR="00357471" w:rsidRPr="00770AE9" w:rsidRDefault="007E0A7F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2E131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0306" w14:textId="77777777" w:rsidR="00357471" w:rsidRPr="00770AE9" w:rsidRDefault="007E0A7F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B826" w14:textId="77777777" w:rsidR="00357471" w:rsidRPr="004E0473" w:rsidRDefault="007E0A7F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</w:tbl>
    <w:p w14:paraId="2A42A5D9" w14:textId="77777777" w:rsidR="00357471" w:rsidRDefault="00357471" w:rsidP="00357471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7471" w:rsidRPr="008364A0" w14:paraId="0B396D13" w14:textId="77777777" w:rsidTr="00A900E1">
        <w:tc>
          <w:tcPr>
            <w:tcW w:w="9067" w:type="dxa"/>
          </w:tcPr>
          <w:p w14:paraId="31DD20A0" w14:textId="77777777" w:rsidR="00357471" w:rsidRPr="008364A0" w:rsidRDefault="00357471" w:rsidP="00A900E1">
            <w:pPr>
              <w:rPr>
                <w:rFonts w:ascii="Arial" w:hAnsi="Arial" w:cs="Arial"/>
              </w:rPr>
            </w:pPr>
            <w:r w:rsidRPr="008364A0">
              <w:rPr>
                <w:rFonts w:ascii="Arial" w:eastAsia="Times New Roman" w:hAnsi="Arial" w:cs="Arial"/>
                <w:b/>
                <w:bCs/>
                <w:lang w:eastAsia="hr-HR"/>
              </w:rPr>
              <w:t>1.3. Projekt: Rashodi za nabavu nefinancijske imovine</w:t>
            </w:r>
          </w:p>
        </w:tc>
      </w:tr>
      <w:tr w:rsidR="00357471" w:rsidRPr="008364A0" w14:paraId="4788E6DE" w14:textId="77777777" w:rsidTr="00A900E1">
        <w:tc>
          <w:tcPr>
            <w:tcW w:w="9067" w:type="dxa"/>
          </w:tcPr>
          <w:p w14:paraId="351A284D" w14:textId="42CBC547" w:rsidR="004E0473" w:rsidRPr="008364A0" w:rsidRDefault="007E0A7F" w:rsidP="004E047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U 2025</w:t>
            </w:r>
            <w:r w:rsidR="00357471">
              <w:rPr>
                <w:rFonts w:ascii="Arial" w:eastAsia="Times New Roman" w:hAnsi="Arial" w:cs="Arial"/>
                <w:color w:val="000000"/>
                <w:lang w:eastAsia="hr-HR"/>
              </w:rPr>
              <w:t>. godin</w:t>
            </w:r>
            <w:r w:rsidR="004E0473">
              <w:rPr>
                <w:rFonts w:ascii="Arial" w:eastAsia="Times New Roman" w:hAnsi="Arial" w:cs="Arial"/>
                <w:color w:val="000000"/>
                <w:lang w:eastAsia="hr-HR"/>
              </w:rPr>
              <w:t>i</w:t>
            </w:r>
            <w:r w:rsidR="00357471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nabavljen je dron vrijednosti 939,99 </w:t>
            </w:r>
            <w:r w:rsidR="0027673A">
              <w:rPr>
                <w:rFonts w:ascii="Arial" w:hAnsi="Arial" w:cs="Arial"/>
                <w:bCs/>
              </w:rPr>
              <w:t>€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, računalo Asus vrijednosti 1.713,75 </w:t>
            </w:r>
            <w:r w:rsidR="0027673A">
              <w:rPr>
                <w:rFonts w:ascii="Arial" w:hAnsi="Arial" w:cs="Arial"/>
                <w:bCs/>
              </w:rPr>
              <w:t>€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i printer vrijednosti 1.825,00 </w:t>
            </w:r>
            <w:r w:rsidR="0027673A">
              <w:rPr>
                <w:rFonts w:ascii="Arial" w:hAnsi="Arial" w:cs="Arial"/>
                <w:bCs/>
              </w:rPr>
              <w:t>€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. N</w:t>
            </w:r>
            <w:r w:rsidR="002A277B">
              <w:rPr>
                <w:rFonts w:ascii="Arial" w:eastAsia="Times New Roman" w:hAnsi="Arial" w:cs="Arial"/>
                <w:color w:val="000000"/>
                <w:lang w:eastAsia="hr-HR"/>
              </w:rPr>
              <w:t>efinancijska imovina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nabavljena je</w:t>
            </w:r>
            <w:r w:rsidR="002A277B">
              <w:rPr>
                <w:rFonts w:ascii="Arial" w:eastAsia="Times New Roman" w:hAnsi="Arial" w:cs="Arial"/>
                <w:color w:val="000000"/>
                <w:lang w:eastAsia="hr-HR"/>
              </w:rPr>
              <w:t xml:space="preserve"> iz sredstava pomoći primljen</w:t>
            </w:r>
            <w:r w:rsidR="001241D3">
              <w:rPr>
                <w:rFonts w:ascii="Arial" w:eastAsia="Times New Roman" w:hAnsi="Arial" w:cs="Arial"/>
                <w:color w:val="000000"/>
                <w:lang w:eastAsia="hr-HR"/>
              </w:rPr>
              <w:t>ih</w:t>
            </w:r>
            <w:r w:rsidR="002A277B">
              <w:rPr>
                <w:rFonts w:ascii="Arial" w:eastAsia="Times New Roman" w:hAnsi="Arial" w:cs="Arial"/>
                <w:color w:val="000000"/>
                <w:lang w:eastAsia="hr-HR"/>
              </w:rPr>
              <w:t xml:space="preserve"> od Ministarstva prostornog</w:t>
            </w:r>
            <w:r w:rsidR="001241D3">
              <w:rPr>
                <w:rFonts w:ascii="Arial" w:eastAsia="Times New Roman" w:hAnsi="Arial" w:cs="Arial"/>
                <w:color w:val="000000"/>
                <w:lang w:eastAsia="hr-HR"/>
              </w:rPr>
              <w:t>a</w:t>
            </w:r>
            <w:r w:rsidR="002A277B">
              <w:rPr>
                <w:rFonts w:ascii="Arial" w:eastAsia="Times New Roman" w:hAnsi="Arial" w:cs="Arial"/>
                <w:color w:val="000000"/>
                <w:lang w:eastAsia="hr-HR"/>
              </w:rPr>
              <w:t xml:space="preserve"> uređenja, graditeljstva i državne imovine.</w:t>
            </w:r>
          </w:p>
        </w:tc>
      </w:tr>
    </w:tbl>
    <w:p w14:paraId="6A0DA4C5" w14:textId="77777777" w:rsidR="00357471" w:rsidRDefault="00357471" w:rsidP="00357471">
      <w:pPr>
        <w:spacing w:after="0"/>
        <w:rPr>
          <w:rFonts w:ascii="Arial" w:hAnsi="Arial" w:cs="Arial"/>
        </w:rPr>
      </w:pPr>
    </w:p>
    <w:p w14:paraId="7DE5F919" w14:textId="77777777" w:rsidR="00357471" w:rsidRPr="008364A0" w:rsidRDefault="00357471" w:rsidP="00357471">
      <w:pPr>
        <w:spacing w:after="0"/>
        <w:rPr>
          <w:rFonts w:ascii="Arial" w:hAnsi="Arial" w:cs="Arial"/>
          <w:b/>
        </w:rPr>
      </w:pPr>
      <w:r w:rsidRPr="008364A0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8980" w:type="dxa"/>
        <w:jc w:val="center"/>
        <w:tblLook w:val="04A0" w:firstRow="1" w:lastRow="0" w:firstColumn="1" w:lastColumn="0" w:noHBand="0" w:noVBand="1"/>
      </w:tblPr>
      <w:tblGrid>
        <w:gridCol w:w="1032"/>
        <w:gridCol w:w="1417"/>
        <w:gridCol w:w="932"/>
        <w:gridCol w:w="1701"/>
        <w:gridCol w:w="1061"/>
        <w:gridCol w:w="1056"/>
        <w:gridCol w:w="1781"/>
      </w:tblGrid>
      <w:tr w:rsidR="00357471" w:rsidRPr="008364A0" w14:paraId="18BF6F80" w14:textId="77777777" w:rsidTr="00A900E1">
        <w:trPr>
          <w:trHeight w:val="56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2D8A" w14:textId="77777777" w:rsidR="00357471" w:rsidRPr="008364A0" w:rsidRDefault="00357471" w:rsidP="00E86096">
            <w:pPr>
              <w:spacing w:after="0" w:line="240" w:lineRule="auto"/>
              <w:ind w:left="-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Pokazatelj</w:t>
            </w:r>
          </w:p>
          <w:p w14:paraId="54E9F1E8" w14:textId="77777777" w:rsidR="00357471" w:rsidRPr="008364A0" w:rsidRDefault="00357471" w:rsidP="00E86096">
            <w:pPr>
              <w:spacing w:after="0" w:line="240" w:lineRule="auto"/>
              <w:ind w:left="-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4FA" w14:textId="77777777" w:rsidR="00357471" w:rsidRPr="008364A0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Definicija pokazatelja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608A" w14:textId="77777777" w:rsidR="00357471" w:rsidRPr="008364A0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602E" w14:textId="327946ED" w:rsidR="00357471" w:rsidRPr="008364A0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Polazna vrijednost 202</w:t>
            </w:r>
            <w:r w:rsidR="007E0A7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="0027673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9A94" w14:textId="77777777" w:rsidR="00357471" w:rsidRPr="008364A0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podataka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DFFC0" w14:textId="77777777" w:rsidR="00357471" w:rsidRPr="008364A0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Ciljana vrijednost</w:t>
            </w:r>
          </w:p>
          <w:p w14:paraId="3B893660" w14:textId="71A2B54E" w:rsidR="00357471" w:rsidRPr="008364A0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</w:t>
            </w:r>
            <w:r w:rsidR="007E0A7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  <w:r w:rsidR="0027673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E19C" w14:textId="77777777" w:rsidR="004E0473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Izvršeno </w:t>
            </w:r>
          </w:p>
          <w:p w14:paraId="5596E441" w14:textId="6142C53B" w:rsidR="00357471" w:rsidRPr="008364A0" w:rsidRDefault="00357471" w:rsidP="0027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1.1.2</w:t>
            </w:r>
            <w:r w:rsidR="004E047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="007E0A7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27673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– </w:t>
            </w:r>
            <w:r w:rsidR="004E047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31.12</w:t>
            </w:r>
            <w:r w:rsidR="007E0A7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.202</w:t>
            </w:r>
            <w:r w:rsidR="0027673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357471" w:rsidRPr="008364A0" w14:paraId="5A9B9D83" w14:textId="77777777" w:rsidTr="00B40C5D">
        <w:trPr>
          <w:trHeight w:val="28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4BD5" w14:textId="77777777" w:rsidR="00357471" w:rsidRPr="008364A0" w:rsidRDefault="00357471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Nabava računalne opreme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E50C" w14:textId="77777777" w:rsidR="00357471" w:rsidRPr="008364A0" w:rsidRDefault="00357471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Obnavljanje računalne opreme potrebne za rad Zavoda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1DFD2" w14:textId="77777777" w:rsidR="00357471" w:rsidRPr="008364A0" w:rsidRDefault="00357471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opreme/ računala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3954" w14:textId="77777777" w:rsidR="00357471" w:rsidRPr="00AE1957" w:rsidRDefault="002A0467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  <w:r w:rsidR="00357471" w:rsidRPr="00AE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stolna računala, 2 prijenosna računala, </w:t>
            </w:r>
          </w:p>
          <w:p w14:paraId="1F5834A4" w14:textId="77777777" w:rsidR="00357471" w:rsidRPr="00AE1957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 računalna monitora,</w:t>
            </w:r>
          </w:p>
          <w:p w14:paraId="15E84B5A" w14:textId="77777777" w:rsidR="00357471" w:rsidRPr="008364A0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 eksterni tvrdi disk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7206" w14:textId="77777777" w:rsidR="00357471" w:rsidRPr="008364A0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5F7BD" w14:textId="77777777" w:rsidR="00357471" w:rsidRPr="008364A0" w:rsidRDefault="002A0467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 </w:t>
            </w:r>
            <w:r w:rsidR="00357471"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računalo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0A44" w14:textId="77777777" w:rsidR="007A4A53" w:rsidRDefault="007A4A53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  <w:p w14:paraId="4DBCAF3D" w14:textId="77777777" w:rsidR="00357471" w:rsidRPr="008364A0" w:rsidRDefault="007A4A53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7E0A7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r</w:t>
            </w:r>
            <w:r w:rsidR="002A046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</w:t>
            </w:r>
            <w:r w:rsidR="007E0A7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čunalo</w:t>
            </w:r>
          </w:p>
        </w:tc>
      </w:tr>
      <w:tr w:rsidR="00B40C5D" w:rsidRPr="008364A0" w14:paraId="0073B509" w14:textId="77777777" w:rsidTr="00B40C5D">
        <w:trPr>
          <w:trHeight w:val="28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8914" w14:textId="77777777" w:rsidR="00B40C5D" w:rsidRPr="008364A0" w:rsidRDefault="007E0A7F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Nabava pisača</w:t>
            </w:r>
            <w:r w:rsidR="00B40C5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799D" w14:textId="77777777" w:rsidR="00B40C5D" w:rsidRPr="008364A0" w:rsidRDefault="002A0467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obnavljanje</w:t>
            </w:r>
            <w:r w:rsidR="00B40C5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7E0A7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pisača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76276" w14:textId="77777777" w:rsidR="00B40C5D" w:rsidRPr="008364A0" w:rsidRDefault="00B40C5D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Broj </w:t>
            </w:r>
            <w:r w:rsidR="007E0A7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2E66" w14:textId="77777777" w:rsidR="00B40C5D" w:rsidRPr="00AE1957" w:rsidRDefault="002A0467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5B740" w14:textId="77777777" w:rsidR="00B40C5D" w:rsidRPr="008364A0" w:rsidRDefault="00B40C5D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F4ED" w14:textId="77777777" w:rsidR="00B40C5D" w:rsidRPr="008364A0" w:rsidRDefault="002A0467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30C4" w14:textId="77777777" w:rsidR="00B40C5D" w:rsidRDefault="002A0467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  <w:tr w:rsidR="002A0467" w:rsidRPr="008364A0" w14:paraId="77367E7D" w14:textId="77777777" w:rsidTr="00B40C5D">
        <w:trPr>
          <w:trHeight w:val="28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C7F9" w14:textId="77777777" w:rsidR="002A0467" w:rsidRDefault="002A0467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Nabava drona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9404" w14:textId="77777777" w:rsidR="002A0467" w:rsidRDefault="002A0467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Nabava drona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4CE0" w14:textId="77777777" w:rsidR="002A0467" w:rsidRDefault="002A0467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opreme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E4AC" w14:textId="77777777" w:rsidR="002A0467" w:rsidRDefault="002A0467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97645" w14:textId="77777777" w:rsidR="002A0467" w:rsidRDefault="002A0467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B2276" w14:textId="77777777" w:rsidR="002A0467" w:rsidRDefault="002A0467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5EA33" w14:textId="77777777" w:rsidR="002A0467" w:rsidRDefault="002A0467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</w:tbl>
    <w:p w14:paraId="009F8B0F" w14:textId="77777777" w:rsidR="00357471" w:rsidRDefault="00357471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</w:p>
    <w:p w14:paraId="03A6657E" w14:textId="77777777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>Obrazloženje izradila:</w:t>
      </w:r>
    </w:p>
    <w:p w14:paraId="2190383E" w14:textId="77777777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>RAVNATELJICA ZAVODA</w:t>
      </w:r>
    </w:p>
    <w:p w14:paraId="34CA5A9B" w14:textId="77777777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Mirjana Pintar, </w:t>
      </w:r>
      <w:proofErr w:type="spellStart"/>
      <w:r>
        <w:rPr>
          <w:rFonts w:ascii="Arial" w:eastAsia="Times New Roman" w:hAnsi="Arial" w:cs="Arial"/>
          <w:iCs/>
          <w:lang w:eastAsia="hr-HR"/>
        </w:rPr>
        <w:t>dipl.ing.arh</w:t>
      </w:r>
      <w:proofErr w:type="spellEnd"/>
      <w:r>
        <w:rPr>
          <w:rFonts w:ascii="Arial" w:eastAsia="Times New Roman" w:hAnsi="Arial" w:cs="Arial"/>
          <w:iCs/>
          <w:lang w:eastAsia="hr-HR"/>
        </w:rPr>
        <w:t>.</w:t>
      </w:r>
    </w:p>
    <w:p w14:paraId="5202A9B6" w14:textId="77777777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</w:p>
    <w:p w14:paraId="1553474B" w14:textId="77777777" w:rsidR="00C40808" w:rsidRPr="008364A0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</w:p>
    <w:p w14:paraId="36E2D31A" w14:textId="77777777" w:rsidR="00F31491" w:rsidRPr="00DF78F2" w:rsidRDefault="00DF78F2" w:rsidP="00DF78F2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DF78F2">
        <w:rPr>
          <w:rFonts w:ascii="Arial" w:hAnsi="Arial" w:cs="Arial"/>
          <w:sz w:val="24"/>
          <w:szCs w:val="24"/>
        </w:rPr>
        <w:t>PREDSJEDNICA UPRAVNOG VIJEĆA</w:t>
      </w:r>
    </w:p>
    <w:p w14:paraId="36C95188" w14:textId="77777777" w:rsidR="000464D1" w:rsidRPr="009A543A" w:rsidRDefault="00F31491" w:rsidP="00B40C5D">
      <w:pPr>
        <w:ind w:left="4956" w:firstLine="708"/>
        <w:jc w:val="right"/>
        <w:rPr>
          <w:rFonts w:cstheme="minorHAnsi"/>
          <w:color w:val="FF0000"/>
        </w:rPr>
      </w:pPr>
      <w:r w:rsidRPr="00DF78F2">
        <w:rPr>
          <w:rFonts w:ascii="Arial" w:hAnsi="Arial" w:cs="Arial"/>
          <w:sz w:val="24"/>
          <w:szCs w:val="24"/>
        </w:rPr>
        <w:t xml:space="preserve">     </w:t>
      </w:r>
      <w:r w:rsidR="00520A3C" w:rsidRPr="00DF78F2">
        <w:rPr>
          <w:rFonts w:ascii="Arial" w:hAnsi="Arial" w:cs="Arial"/>
          <w:sz w:val="24"/>
          <w:szCs w:val="24"/>
        </w:rPr>
        <w:t xml:space="preserve">Tatjana </w:t>
      </w:r>
      <w:proofErr w:type="spellStart"/>
      <w:r w:rsidR="00520A3C" w:rsidRPr="00DF78F2">
        <w:rPr>
          <w:rFonts w:ascii="Arial" w:hAnsi="Arial" w:cs="Arial"/>
          <w:sz w:val="24"/>
          <w:szCs w:val="24"/>
        </w:rPr>
        <w:t>Vadas,dipl.ing.arh</w:t>
      </w:r>
      <w:proofErr w:type="spellEnd"/>
      <w:r w:rsidR="00520A3C" w:rsidRPr="00DF78F2">
        <w:rPr>
          <w:rFonts w:ascii="Arial" w:hAnsi="Arial" w:cs="Arial"/>
          <w:sz w:val="24"/>
          <w:szCs w:val="24"/>
        </w:rPr>
        <w:t>.</w:t>
      </w:r>
    </w:p>
    <w:sectPr w:rsidR="000464D1" w:rsidRPr="009A543A" w:rsidSect="004A21AA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39DD" w14:textId="77777777" w:rsidR="00CB550C" w:rsidRDefault="00CB550C" w:rsidP="001F393D">
      <w:pPr>
        <w:spacing w:after="0" w:line="240" w:lineRule="auto"/>
      </w:pPr>
      <w:r>
        <w:separator/>
      </w:r>
    </w:p>
  </w:endnote>
  <w:endnote w:type="continuationSeparator" w:id="0">
    <w:p w14:paraId="2497B8AF" w14:textId="77777777" w:rsidR="00CB550C" w:rsidRDefault="00CB550C" w:rsidP="001F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967621"/>
      <w:docPartObj>
        <w:docPartGallery w:val="Page Numbers (Bottom of Page)"/>
        <w:docPartUnique/>
      </w:docPartObj>
    </w:sdtPr>
    <w:sdtContent>
      <w:p w14:paraId="0DBE03E7" w14:textId="77777777" w:rsidR="000E44DF" w:rsidRDefault="002A04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A87BF3" w14:textId="77777777" w:rsidR="000E44DF" w:rsidRDefault="000E4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FBB0" w14:textId="77777777" w:rsidR="00CB550C" w:rsidRDefault="00CB550C" w:rsidP="001F393D">
      <w:pPr>
        <w:spacing w:after="0" w:line="240" w:lineRule="auto"/>
      </w:pPr>
      <w:r>
        <w:separator/>
      </w:r>
    </w:p>
  </w:footnote>
  <w:footnote w:type="continuationSeparator" w:id="0">
    <w:p w14:paraId="1F2330F0" w14:textId="77777777" w:rsidR="00CB550C" w:rsidRDefault="00CB550C" w:rsidP="001F3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307E"/>
    <w:multiLevelType w:val="hybridMultilevel"/>
    <w:tmpl w:val="E4DA2A10"/>
    <w:lvl w:ilvl="0" w:tplc="EC8AEC2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71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0738BB"/>
    <w:multiLevelType w:val="hybridMultilevel"/>
    <w:tmpl w:val="4C12A44A"/>
    <w:lvl w:ilvl="0" w:tplc="15B40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1C5F"/>
    <w:multiLevelType w:val="hybridMultilevel"/>
    <w:tmpl w:val="1094814A"/>
    <w:lvl w:ilvl="0" w:tplc="2AC8A8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B1963"/>
    <w:multiLevelType w:val="hybridMultilevel"/>
    <w:tmpl w:val="067E84FA"/>
    <w:lvl w:ilvl="0" w:tplc="FE7A354C">
      <w:start w:val="1"/>
      <w:numFmt w:val="upperRoman"/>
      <w:lvlText w:val="%1."/>
      <w:lvlJc w:val="left"/>
      <w:pPr>
        <w:ind w:left="465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16" w:hanging="360"/>
      </w:pPr>
    </w:lvl>
    <w:lvl w:ilvl="2" w:tplc="041A001B" w:tentative="1">
      <w:start w:val="1"/>
      <w:numFmt w:val="lowerRoman"/>
      <w:lvlText w:val="%3."/>
      <w:lvlJc w:val="right"/>
      <w:pPr>
        <w:ind w:left="5736" w:hanging="180"/>
      </w:pPr>
    </w:lvl>
    <w:lvl w:ilvl="3" w:tplc="041A000F" w:tentative="1">
      <w:start w:val="1"/>
      <w:numFmt w:val="decimal"/>
      <w:lvlText w:val="%4."/>
      <w:lvlJc w:val="left"/>
      <w:pPr>
        <w:ind w:left="6456" w:hanging="360"/>
      </w:pPr>
    </w:lvl>
    <w:lvl w:ilvl="4" w:tplc="041A0019" w:tentative="1">
      <w:start w:val="1"/>
      <w:numFmt w:val="lowerLetter"/>
      <w:lvlText w:val="%5."/>
      <w:lvlJc w:val="left"/>
      <w:pPr>
        <w:ind w:left="7176" w:hanging="360"/>
      </w:pPr>
    </w:lvl>
    <w:lvl w:ilvl="5" w:tplc="041A001B" w:tentative="1">
      <w:start w:val="1"/>
      <w:numFmt w:val="lowerRoman"/>
      <w:lvlText w:val="%6."/>
      <w:lvlJc w:val="right"/>
      <w:pPr>
        <w:ind w:left="7896" w:hanging="180"/>
      </w:pPr>
    </w:lvl>
    <w:lvl w:ilvl="6" w:tplc="041A000F" w:tentative="1">
      <w:start w:val="1"/>
      <w:numFmt w:val="decimal"/>
      <w:lvlText w:val="%7."/>
      <w:lvlJc w:val="left"/>
      <w:pPr>
        <w:ind w:left="8616" w:hanging="360"/>
      </w:pPr>
    </w:lvl>
    <w:lvl w:ilvl="7" w:tplc="041A0019" w:tentative="1">
      <w:start w:val="1"/>
      <w:numFmt w:val="lowerLetter"/>
      <w:lvlText w:val="%8."/>
      <w:lvlJc w:val="left"/>
      <w:pPr>
        <w:ind w:left="9336" w:hanging="360"/>
      </w:pPr>
    </w:lvl>
    <w:lvl w:ilvl="8" w:tplc="041A001B" w:tentative="1">
      <w:start w:val="1"/>
      <w:numFmt w:val="lowerRoman"/>
      <w:lvlText w:val="%9."/>
      <w:lvlJc w:val="right"/>
      <w:pPr>
        <w:ind w:left="10056" w:hanging="180"/>
      </w:pPr>
    </w:lvl>
  </w:abstractNum>
  <w:abstractNum w:abstractNumId="5" w15:restartNumberingAfterBreak="0">
    <w:nsid w:val="5C2828D1"/>
    <w:multiLevelType w:val="multilevel"/>
    <w:tmpl w:val="2482D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D13160D"/>
    <w:multiLevelType w:val="hybridMultilevel"/>
    <w:tmpl w:val="BE52DA1E"/>
    <w:lvl w:ilvl="0" w:tplc="6FC69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759FB"/>
    <w:multiLevelType w:val="hybridMultilevel"/>
    <w:tmpl w:val="946EDAAC"/>
    <w:lvl w:ilvl="0" w:tplc="8A12569C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70077351">
    <w:abstractNumId w:val="2"/>
  </w:num>
  <w:num w:numId="2" w16cid:durableId="441457328">
    <w:abstractNumId w:val="1"/>
  </w:num>
  <w:num w:numId="3" w16cid:durableId="341670724">
    <w:abstractNumId w:val="3"/>
  </w:num>
  <w:num w:numId="4" w16cid:durableId="93404804">
    <w:abstractNumId w:val="7"/>
  </w:num>
  <w:num w:numId="5" w16cid:durableId="292640887">
    <w:abstractNumId w:val="0"/>
  </w:num>
  <w:num w:numId="6" w16cid:durableId="1123039751">
    <w:abstractNumId w:val="6"/>
  </w:num>
  <w:num w:numId="7" w16cid:durableId="732775757">
    <w:abstractNumId w:val="5"/>
  </w:num>
  <w:num w:numId="8" w16cid:durableId="437871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5A7"/>
    <w:rsid w:val="00000638"/>
    <w:rsid w:val="000024AF"/>
    <w:rsid w:val="00010E96"/>
    <w:rsid w:val="0001301C"/>
    <w:rsid w:val="000168F4"/>
    <w:rsid w:val="00026C2D"/>
    <w:rsid w:val="00032CF0"/>
    <w:rsid w:val="000464D1"/>
    <w:rsid w:val="000527BC"/>
    <w:rsid w:val="000603CD"/>
    <w:rsid w:val="00061033"/>
    <w:rsid w:val="00065A14"/>
    <w:rsid w:val="0007027F"/>
    <w:rsid w:val="00071289"/>
    <w:rsid w:val="000718EA"/>
    <w:rsid w:val="00072039"/>
    <w:rsid w:val="0007450D"/>
    <w:rsid w:val="00076E43"/>
    <w:rsid w:val="000827C9"/>
    <w:rsid w:val="0008282C"/>
    <w:rsid w:val="00083718"/>
    <w:rsid w:val="000C1C18"/>
    <w:rsid w:val="000C238F"/>
    <w:rsid w:val="000C7670"/>
    <w:rsid w:val="000E01A4"/>
    <w:rsid w:val="000E44DF"/>
    <w:rsid w:val="000F17AC"/>
    <w:rsid w:val="000F6303"/>
    <w:rsid w:val="001013F0"/>
    <w:rsid w:val="0012042A"/>
    <w:rsid w:val="00121F6B"/>
    <w:rsid w:val="001241D3"/>
    <w:rsid w:val="00126CB3"/>
    <w:rsid w:val="00132158"/>
    <w:rsid w:val="0014522A"/>
    <w:rsid w:val="00147702"/>
    <w:rsid w:val="0016455B"/>
    <w:rsid w:val="001658C2"/>
    <w:rsid w:val="00165B64"/>
    <w:rsid w:val="001667E6"/>
    <w:rsid w:val="00183C14"/>
    <w:rsid w:val="00191132"/>
    <w:rsid w:val="001A3E2C"/>
    <w:rsid w:val="001B5DD8"/>
    <w:rsid w:val="001C05EE"/>
    <w:rsid w:val="001C0DB8"/>
    <w:rsid w:val="001C22E9"/>
    <w:rsid w:val="001C70FE"/>
    <w:rsid w:val="001D02F5"/>
    <w:rsid w:val="001D0332"/>
    <w:rsid w:val="001E05FE"/>
    <w:rsid w:val="001E4C99"/>
    <w:rsid w:val="001F393D"/>
    <w:rsid w:val="001F3A5D"/>
    <w:rsid w:val="00201A63"/>
    <w:rsid w:val="0020562D"/>
    <w:rsid w:val="00216C5F"/>
    <w:rsid w:val="002204E8"/>
    <w:rsid w:val="00222FAD"/>
    <w:rsid w:val="00224DEC"/>
    <w:rsid w:val="002253AE"/>
    <w:rsid w:val="00230245"/>
    <w:rsid w:val="0023520A"/>
    <w:rsid w:val="00241F62"/>
    <w:rsid w:val="00244994"/>
    <w:rsid w:val="00245F1D"/>
    <w:rsid w:val="00251CD9"/>
    <w:rsid w:val="00253B09"/>
    <w:rsid w:val="00256A8B"/>
    <w:rsid w:val="00256BF4"/>
    <w:rsid w:val="00261CF8"/>
    <w:rsid w:val="00267D56"/>
    <w:rsid w:val="002757C3"/>
    <w:rsid w:val="0027673A"/>
    <w:rsid w:val="002860AC"/>
    <w:rsid w:val="002861DA"/>
    <w:rsid w:val="00295902"/>
    <w:rsid w:val="00296B1C"/>
    <w:rsid w:val="002A0467"/>
    <w:rsid w:val="002A277B"/>
    <w:rsid w:val="002A2E72"/>
    <w:rsid w:val="002B7E86"/>
    <w:rsid w:val="002D0B51"/>
    <w:rsid w:val="002D3697"/>
    <w:rsid w:val="002D7CC8"/>
    <w:rsid w:val="002E044C"/>
    <w:rsid w:val="002E0E24"/>
    <w:rsid w:val="002E7782"/>
    <w:rsid w:val="002F507A"/>
    <w:rsid w:val="002F5D26"/>
    <w:rsid w:val="002F720C"/>
    <w:rsid w:val="00300D2D"/>
    <w:rsid w:val="003112A9"/>
    <w:rsid w:val="0031556F"/>
    <w:rsid w:val="00320BCA"/>
    <w:rsid w:val="00333805"/>
    <w:rsid w:val="00337ADD"/>
    <w:rsid w:val="00347562"/>
    <w:rsid w:val="00357471"/>
    <w:rsid w:val="00362FB2"/>
    <w:rsid w:val="003634A5"/>
    <w:rsid w:val="003649C5"/>
    <w:rsid w:val="00367FBC"/>
    <w:rsid w:val="00371236"/>
    <w:rsid w:val="003734C2"/>
    <w:rsid w:val="003935D8"/>
    <w:rsid w:val="00397BA2"/>
    <w:rsid w:val="003A51D6"/>
    <w:rsid w:val="003A7854"/>
    <w:rsid w:val="003B3F1B"/>
    <w:rsid w:val="003D1418"/>
    <w:rsid w:val="003E3178"/>
    <w:rsid w:val="003E553A"/>
    <w:rsid w:val="003E6447"/>
    <w:rsid w:val="00402CA4"/>
    <w:rsid w:val="00407609"/>
    <w:rsid w:val="004171BE"/>
    <w:rsid w:val="00423DBF"/>
    <w:rsid w:val="00427E26"/>
    <w:rsid w:val="00432775"/>
    <w:rsid w:val="00442BDE"/>
    <w:rsid w:val="00444830"/>
    <w:rsid w:val="004464AF"/>
    <w:rsid w:val="00446DF2"/>
    <w:rsid w:val="00452A51"/>
    <w:rsid w:val="00463A2C"/>
    <w:rsid w:val="00467F9A"/>
    <w:rsid w:val="004728F3"/>
    <w:rsid w:val="0047404B"/>
    <w:rsid w:val="00485CB5"/>
    <w:rsid w:val="004942CE"/>
    <w:rsid w:val="00494964"/>
    <w:rsid w:val="004A0C0B"/>
    <w:rsid w:val="004A21AA"/>
    <w:rsid w:val="004A7BE6"/>
    <w:rsid w:val="004B5806"/>
    <w:rsid w:val="004C5827"/>
    <w:rsid w:val="004C69AE"/>
    <w:rsid w:val="004D22E6"/>
    <w:rsid w:val="004D6453"/>
    <w:rsid w:val="004D75E8"/>
    <w:rsid w:val="004E0473"/>
    <w:rsid w:val="004E4412"/>
    <w:rsid w:val="004E5DF3"/>
    <w:rsid w:val="004E6A1E"/>
    <w:rsid w:val="004E7569"/>
    <w:rsid w:val="004F7718"/>
    <w:rsid w:val="005067B4"/>
    <w:rsid w:val="00506B2C"/>
    <w:rsid w:val="00517830"/>
    <w:rsid w:val="00517879"/>
    <w:rsid w:val="00517A4A"/>
    <w:rsid w:val="00520A3C"/>
    <w:rsid w:val="00521947"/>
    <w:rsid w:val="00533D6B"/>
    <w:rsid w:val="00540511"/>
    <w:rsid w:val="00545371"/>
    <w:rsid w:val="00555343"/>
    <w:rsid w:val="00555D69"/>
    <w:rsid w:val="0057273C"/>
    <w:rsid w:val="0057315D"/>
    <w:rsid w:val="005813DA"/>
    <w:rsid w:val="00584EBA"/>
    <w:rsid w:val="00585B7D"/>
    <w:rsid w:val="00585CA6"/>
    <w:rsid w:val="0058684B"/>
    <w:rsid w:val="00587474"/>
    <w:rsid w:val="0059666A"/>
    <w:rsid w:val="005A49FF"/>
    <w:rsid w:val="005A776F"/>
    <w:rsid w:val="005B19CE"/>
    <w:rsid w:val="005B210E"/>
    <w:rsid w:val="005B5D66"/>
    <w:rsid w:val="005C7F12"/>
    <w:rsid w:val="005D036F"/>
    <w:rsid w:val="005D2F69"/>
    <w:rsid w:val="005D62CF"/>
    <w:rsid w:val="005D748E"/>
    <w:rsid w:val="005E1200"/>
    <w:rsid w:val="005E4D03"/>
    <w:rsid w:val="005F3628"/>
    <w:rsid w:val="005F6A7D"/>
    <w:rsid w:val="0060112F"/>
    <w:rsid w:val="00606DF7"/>
    <w:rsid w:val="00607CBF"/>
    <w:rsid w:val="006131D4"/>
    <w:rsid w:val="00615731"/>
    <w:rsid w:val="00617B9F"/>
    <w:rsid w:val="00621C16"/>
    <w:rsid w:val="00635E45"/>
    <w:rsid w:val="00652DF1"/>
    <w:rsid w:val="00666643"/>
    <w:rsid w:val="00667DA1"/>
    <w:rsid w:val="006750DA"/>
    <w:rsid w:val="006876B8"/>
    <w:rsid w:val="00691CE0"/>
    <w:rsid w:val="00693ACE"/>
    <w:rsid w:val="006A0D2C"/>
    <w:rsid w:val="006A112D"/>
    <w:rsid w:val="006B1188"/>
    <w:rsid w:val="006C6944"/>
    <w:rsid w:val="006D0842"/>
    <w:rsid w:val="006D7252"/>
    <w:rsid w:val="006E2584"/>
    <w:rsid w:val="006E31B4"/>
    <w:rsid w:val="006F34AE"/>
    <w:rsid w:val="006F476F"/>
    <w:rsid w:val="007011FB"/>
    <w:rsid w:val="007029AC"/>
    <w:rsid w:val="00711A0F"/>
    <w:rsid w:val="00714096"/>
    <w:rsid w:val="00714BC2"/>
    <w:rsid w:val="00731805"/>
    <w:rsid w:val="00736467"/>
    <w:rsid w:val="00740DAC"/>
    <w:rsid w:val="00742661"/>
    <w:rsid w:val="00743D17"/>
    <w:rsid w:val="00757626"/>
    <w:rsid w:val="007706C3"/>
    <w:rsid w:val="0077312A"/>
    <w:rsid w:val="0078184A"/>
    <w:rsid w:val="0078310C"/>
    <w:rsid w:val="00783D68"/>
    <w:rsid w:val="00784366"/>
    <w:rsid w:val="007874D1"/>
    <w:rsid w:val="007919B2"/>
    <w:rsid w:val="00794D67"/>
    <w:rsid w:val="00796557"/>
    <w:rsid w:val="007A4A53"/>
    <w:rsid w:val="007A5B1C"/>
    <w:rsid w:val="007B38D7"/>
    <w:rsid w:val="007C63A8"/>
    <w:rsid w:val="007D424F"/>
    <w:rsid w:val="007E0A7F"/>
    <w:rsid w:val="007E1BAE"/>
    <w:rsid w:val="007E1BD5"/>
    <w:rsid w:val="007E41D3"/>
    <w:rsid w:val="007F2C7A"/>
    <w:rsid w:val="008048C6"/>
    <w:rsid w:val="008143BB"/>
    <w:rsid w:val="008313AE"/>
    <w:rsid w:val="00832006"/>
    <w:rsid w:val="00836C17"/>
    <w:rsid w:val="0083723C"/>
    <w:rsid w:val="00841917"/>
    <w:rsid w:val="00865DC1"/>
    <w:rsid w:val="00873910"/>
    <w:rsid w:val="00877FC0"/>
    <w:rsid w:val="00884529"/>
    <w:rsid w:val="008860D5"/>
    <w:rsid w:val="008923A1"/>
    <w:rsid w:val="008931B0"/>
    <w:rsid w:val="008A0317"/>
    <w:rsid w:val="008A73D9"/>
    <w:rsid w:val="008C04E9"/>
    <w:rsid w:val="008C3CDF"/>
    <w:rsid w:val="008C784D"/>
    <w:rsid w:val="008D084C"/>
    <w:rsid w:val="008D6994"/>
    <w:rsid w:val="008E299D"/>
    <w:rsid w:val="008E4288"/>
    <w:rsid w:val="008E723F"/>
    <w:rsid w:val="008E76E7"/>
    <w:rsid w:val="008F7367"/>
    <w:rsid w:val="00906B43"/>
    <w:rsid w:val="009109CD"/>
    <w:rsid w:val="0091344A"/>
    <w:rsid w:val="009154D5"/>
    <w:rsid w:val="0092500E"/>
    <w:rsid w:val="00936D45"/>
    <w:rsid w:val="0094132A"/>
    <w:rsid w:val="009429FF"/>
    <w:rsid w:val="009447F3"/>
    <w:rsid w:val="00955CAF"/>
    <w:rsid w:val="0096624B"/>
    <w:rsid w:val="0097066F"/>
    <w:rsid w:val="00971DC7"/>
    <w:rsid w:val="00976D9C"/>
    <w:rsid w:val="00980440"/>
    <w:rsid w:val="00984911"/>
    <w:rsid w:val="0098761B"/>
    <w:rsid w:val="0098797A"/>
    <w:rsid w:val="00991B57"/>
    <w:rsid w:val="009A4D1E"/>
    <w:rsid w:val="009A543A"/>
    <w:rsid w:val="009A7B52"/>
    <w:rsid w:val="009B203C"/>
    <w:rsid w:val="009B66A6"/>
    <w:rsid w:val="009C6C15"/>
    <w:rsid w:val="009C7A76"/>
    <w:rsid w:val="009D1D3D"/>
    <w:rsid w:val="009D3765"/>
    <w:rsid w:val="009D459A"/>
    <w:rsid w:val="009D7CAE"/>
    <w:rsid w:val="009F084D"/>
    <w:rsid w:val="009F7A68"/>
    <w:rsid w:val="00A00918"/>
    <w:rsid w:val="00A030AA"/>
    <w:rsid w:val="00A1390F"/>
    <w:rsid w:val="00A36B0E"/>
    <w:rsid w:val="00A375E5"/>
    <w:rsid w:val="00A44503"/>
    <w:rsid w:val="00A44C47"/>
    <w:rsid w:val="00A46620"/>
    <w:rsid w:val="00A50EB5"/>
    <w:rsid w:val="00A55178"/>
    <w:rsid w:val="00A5762B"/>
    <w:rsid w:val="00A704B1"/>
    <w:rsid w:val="00A72F3B"/>
    <w:rsid w:val="00A900E1"/>
    <w:rsid w:val="00AA3648"/>
    <w:rsid w:val="00AB14E8"/>
    <w:rsid w:val="00AB6444"/>
    <w:rsid w:val="00AB652C"/>
    <w:rsid w:val="00AC0878"/>
    <w:rsid w:val="00B01D15"/>
    <w:rsid w:val="00B0248B"/>
    <w:rsid w:val="00B068F9"/>
    <w:rsid w:val="00B177D0"/>
    <w:rsid w:val="00B25A4C"/>
    <w:rsid w:val="00B31BF1"/>
    <w:rsid w:val="00B40C5D"/>
    <w:rsid w:val="00B44CC1"/>
    <w:rsid w:val="00B63166"/>
    <w:rsid w:val="00B6403C"/>
    <w:rsid w:val="00B7436A"/>
    <w:rsid w:val="00B754CF"/>
    <w:rsid w:val="00B82EE8"/>
    <w:rsid w:val="00B87D30"/>
    <w:rsid w:val="00B94466"/>
    <w:rsid w:val="00B95043"/>
    <w:rsid w:val="00B96505"/>
    <w:rsid w:val="00BA1432"/>
    <w:rsid w:val="00BA2D8C"/>
    <w:rsid w:val="00BB0D27"/>
    <w:rsid w:val="00BB4C67"/>
    <w:rsid w:val="00BB6359"/>
    <w:rsid w:val="00BC0D3D"/>
    <w:rsid w:val="00BC6525"/>
    <w:rsid w:val="00BD533C"/>
    <w:rsid w:val="00BE3932"/>
    <w:rsid w:val="00BE7D5B"/>
    <w:rsid w:val="00C056EF"/>
    <w:rsid w:val="00C10F89"/>
    <w:rsid w:val="00C13468"/>
    <w:rsid w:val="00C15DD0"/>
    <w:rsid w:val="00C160D5"/>
    <w:rsid w:val="00C229E0"/>
    <w:rsid w:val="00C236E7"/>
    <w:rsid w:val="00C23750"/>
    <w:rsid w:val="00C252AB"/>
    <w:rsid w:val="00C27E48"/>
    <w:rsid w:val="00C33D17"/>
    <w:rsid w:val="00C36BA1"/>
    <w:rsid w:val="00C40808"/>
    <w:rsid w:val="00C418C1"/>
    <w:rsid w:val="00C441BC"/>
    <w:rsid w:val="00C55AFA"/>
    <w:rsid w:val="00C6449F"/>
    <w:rsid w:val="00C821FE"/>
    <w:rsid w:val="00C90DBF"/>
    <w:rsid w:val="00C955B0"/>
    <w:rsid w:val="00CA52C6"/>
    <w:rsid w:val="00CB001D"/>
    <w:rsid w:val="00CB30CA"/>
    <w:rsid w:val="00CB550C"/>
    <w:rsid w:val="00CB5AED"/>
    <w:rsid w:val="00CC0EAE"/>
    <w:rsid w:val="00CC3F2F"/>
    <w:rsid w:val="00CC687C"/>
    <w:rsid w:val="00CD0A99"/>
    <w:rsid w:val="00CD2896"/>
    <w:rsid w:val="00CD410B"/>
    <w:rsid w:val="00CD5A1A"/>
    <w:rsid w:val="00CE346C"/>
    <w:rsid w:val="00CE63C4"/>
    <w:rsid w:val="00CE7D52"/>
    <w:rsid w:val="00CF09E4"/>
    <w:rsid w:val="00CF6184"/>
    <w:rsid w:val="00CF74BD"/>
    <w:rsid w:val="00D0743F"/>
    <w:rsid w:val="00D15ECB"/>
    <w:rsid w:val="00D1616A"/>
    <w:rsid w:val="00D24C27"/>
    <w:rsid w:val="00D2575A"/>
    <w:rsid w:val="00D304AB"/>
    <w:rsid w:val="00D40355"/>
    <w:rsid w:val="00D4239A"/>
    <w:rsid w:val="00D42781"/>
    <w:rsid w:val="00D43D2D"/>
    <w:rsid w:val="00D45E79"/>
    <w:rsid w:val="00D5017F"/>
    <w:rsid w:val="00D517AB"/>
    <w:rsid w:val="00D57DE7"/>
    <w:rsid w:val="00D636C1"/>
    <w:rsid w:val="00D637A9"/>
    <w:rsid w:val="00D715F8"/>
    <w:rsid w:val="00D95ACC"/>
    <w:rsid w:val="00DA0E2C"/>
    <w:rsid w:val="00DA63E6"/>
    <w:rsid w:val="00DA7F7A"/>
    <w:rsid w:val="00DB3B37"/>
    <w:rsid w:val="00DC11C5"/>
    <w:rsid w:val="00DC1BD2"/>
    <w:rsid w:val="00DD7B5F"/>
    <w:rsid w:val="00DE005A"/>
    <w:rsid w:val="00DE081B"/>
    <w:rsid w:val="00DE438C"/>
    <w:rsid w:val="00DE6D11"/>
    <w:rsid w:val="00DF65CE"/>
    <w:rsid w:val="00DF78F2"/>
    <w:rsid w:val="00E016CC"/>
    <w:rsid w:val="00E233B2"/>
    <w:rsid w:val="00E3144F"/>
    <w:rsid w:val="00E41860"/>
    <w:rsid w:val="00E42A03"/>
    <w:rsid w:val="00E552CF"/>
    <w:rsid w:val="00E569D3"/>
    <w:rsid w:val="00E62F29"/>
    <w:rsid w:val="00E76261"/>
    <w:rsid w:val="00E76EC9"/>
    <w:rsid w:val="00E86096"/>
    <w:rsid w:val="00E941E5"/>
    <w:rsid w:val="00EB792E"/>
    <w:rsid w:val="00EC435B"/>
    <w:rsid w:val="00ED5D45"/>
    <w:rsid w:val="00ED632D"/>
    <w:rsid w:val="00ED7544"/>
    <w:rsid w:val="00F00268"/>
    <w:rsid w:val="00F0177C"/>
    <w:rsid w:val="00F210BF"/>
    <w:rsid w:val="00F30FCC"/>
    <w:rsid w:val="00F31491"/>
    <w:rsid w:val="00F3780D"/>
    <w:rsid w:val="00F42634"/>
    <w:rsid w:val="00F46EED"/>
    <w:rsid w:val="00F5574F"/>
    <w:rsid w:val="00F579B7"/>
    <w:rsid w:val="00F605A7"/>
    <w:rsid w:val="00F65BCD"/>
    <w:rsid w:val="00F72DE0"/>
    <w:rsid w:val="00F866D7"/>
    <w:rsid w:val="00F876AE"/>
    <w:rsid w:val="00F9060E"/>
    <w:rsid w:val="00FA22ED"/>
    <w:rsid w:val="00FA38BD"/>
    <w:rsid w:val="00FC62D5"/>
    <w:rsid w:val="00FD0754"/>
    <w:rsid w:val="00FD3AFC"/>
    <w:rsid w:val="00FD5C76"/>
    <w:rsid w:val="00FE2AF5"/>
    <w:rsid w:val="00FE7E38"/>
    <w:rsid w:val="00FF2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BF8A"/>
  <w15:docId w15:val="{04E66070-F42D-49E1-B44E-82ED5D2A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AC"/>
  </w:style>
  <w:style w:type="paragraph" w:styleId="Heading7">
    <w:name w:val="heading 7"/>
    <w:basedOn w:val="Normal"/>
    <w:next w:val="Normal"/>
    <w:link w:val="Heading7Char"/>
    <w:qFormat/>
    <w:rsid w:val="006B118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40DA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A0D2C"/>
    <w:pPr>
      <w:spacing w:after="200" w:line="240" w:lineRule="auto"/>
    </w:pPr>
    <w:rPr>
      <w:i/>
      <w:iCs/>
      <w:color w:val="464646" w:themeColor="text2"/>
      <w:sz w:val="18"/>
      <w:szCs w:val="18"/>
    </w:rPr>
  </w:style>
  <w:style w:type="table" w:styleId="TableGrid">
    <w:name w:val="Table Grid"/>
    <w:basedOn w:val="TableNormal"/>
    <w:uiPriority w:val="59"/>
    <w:rsid w:val="00D4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07609"/>
    <w:pPr>
      <w:spacing w:after="120" w:line="25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7609"/>
  </w:style>
  <w:style w:type="paragraph" w:styleId="BalloonText">
    <w:name w:val="Balloon Text"/>
    <w:basedOn w:val="Normal"/>
    <w:link w:val="BalloonTextChar"/>
    <w:uiPriority w:val="99"/>
    <w:semiHidden/>
    <w:unhideWhenUsed/>
    <w:rsid w:val="0075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6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93D"/>
  </w:style>
  <w:style w:type="paragraph" w:styleId="Footer">
    <w:name w:val="footer"/>
    <w:basedOn w:val="Normal"/>
    <w:link w:val="FooterChar"/>
    <w:uiPriority w:val="99"/>
    <w:unhideWhenUsed/>
    <w:rsid w:val="001F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93D"/>
  </w:style>
  <w:style w:type="paragraph" w:customStyle="1" w:styleId="Default">
    <w:name w:val="Default"/>
    <w:rsid w:val="00B640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B1188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NoSpacing">
    <w:name w:val="No Spacing"/>
    <w:uiPriority w:val="1"/>
    <w:qFormat/>
    <w:rsid w:val="00D25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Gomilanj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6A939-09AB-4769-A7F2-67CAE146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3531</Words>
  <Characters>20127</Characters>
  <Application>Microsoft Office Word</Application>
  <DocSecurity>0</DocSecurity>
  <Lines>167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Jagačić</dc:creator>
  <cp:keywords/>
  <dc:description/>
  <cp:lastModifiedBy>Martina</cp:lastModifiedBy>
  <cp:revision>11</cp:revision>
  <cp:lastPrinted>2026-02-20T09:47:00Z</cp:lastPrinted>
  <dcterms:created xsi:type="dcterms:W3CDTF">2026-01-24T16:44:00Z</dcterms:created>
  <dcterms:modified xsi:type="dcterms:W3CDTF">2026-02-20T09:47:00Z</dcterms:modified>
</cp:coreProperties>
</file>